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12" w:lineRule="auto"/>
        <w:jc w:val="center"/>
        <w:rPr>
          <w:rFonts w:hint="eastAsia" w:ascii="宋体" w:hAnsi="宋体" w:eastAsia="宋体" w:cs="宋体"/>
          <w:b/>
          <w:color w:val="auto"/>
          <w:sz w:val="56"/>
          <w:szCs w:val="48"/>
          <w:highlight w:val="none"/>
        </w:rPr>
      </w:pPr>
    </w:p>
    <w:p>
      <w:pPr>
        <w:autoSpaceDE w:val="0"/>
        <w:autoSpaceDN w:val="0"/>
        <w:adjustRightInd w:val="0"/>
        <w:spacing w:line="312" w:lineRule="auto"/>
        <w:jc w:val="center"/>
        <w:rPr>
          <w:rFonts w:hint="eastAsia" w:ascii="宋体" w:hAnsi="宋体" w:eastAsia="宋体" w:cs="宋体"/>
          <w:b/>
          <w:color w:val="auto"/>
          <w:spacing w:val="100"/>
          <w:kern w:val="0"/>
          <w:sz w:val="96"/>
          <w:szCs w:val="96"/>
          <w:highlight w:val="none"/>
          <w:lang w:eastAsia="zh-CN"/>
        </w:rPr>
      </w:pPr>
      <w:r>
        <w:rPr>
          <w:rFonts w:hint="eastAsia" w:ascii="宋体" w:hAnsi="宋体" w:cs="宋体"/>
          <w:b/>
          <w:color w:val="auto"/>
          <w:sz w:val="44"/>
          <w:szCs w:val="36"/>
          <w:highlight w:val="none"/>
          <w:lang w:eastAsia="zh-CN"/>
        </w:rPr>
        <w:t>东北师范大学化学学院电喷雾离子淌度质谱仪（进口）设备采购（二次）</w:t>
      </w:r>
    </w:p>
    <w:p>
      <w:pPr>
        <w:autoSpaceDE w:val="0"/>
        <w:autoSpaceDN w:val="0"/>
        <w:adjustRightInd w:val="0"/>
        <w:spacing w:line="312" w:lineRule="auto"/>
        <w:jc w:val="center"/>
        <w:rPr>
          <w:rFonts w:hint="eastAsia" w:ascii="宋体" w:hAnsi="宋体" w:eastAsia="宋体" w:cs="宋体"/>
          <w:b/>
          <w:color w:val="auto"/>
          <w:spacing w:val="100"/>
          <w:kern w:val="0"/>
          <w:sz w:val="56"/>
          <w:szCs w:val="56"/>
          <w:highlight w:val="none"/>
        </w:rPr>
      </w:pPr>
    </w:p>
    <w:p>
      <w:pPr>
        <w:autoSpaceDE w:val="0"/>
        <w:autoSpaceDN w:val="0"/>
        <w:adjustRightInd w:val="0"/>
        <w:spacing w:line="312" w:lineRule="auto"/>
        <w:jc w:val="center"/>
        <w:rPr>
          <w:rFonts w:hint="eastAsia" w:ascii="宋体" w:hAnsi="宋体" w:eastAsia="宋体" w:cs="宋体"/>
          <w:b/>
          <w:color w:val="auto"/>
          <w:spacing w:val="100"/>
          <w:kern w:val="0"/>
          <w:sz w:val="56"/>
          <w:szCs w:val="56"/>
          <w:highlight w:val="none"/>
        </w:rPr>
      </w:pPr>
    </w:p>
    <w:p>
      <w:pPr>
        <w:pStyle w:val="6"/>
        <w:rPr>
          <w:rFonts w:hint="eastAsia" w:ascii="宋体" w:hAnsi="宋体" w:eastAsia="宋体" w:cs="宋体"/>
          <w:color w:val="auto"/>
          <w:highlight w:val="none"/>
        </w:rPr>
      </w:pPr>
    </w:p>
    <w:p>
      <w:pPr>
        <w:autoSpaceDE w:val="0"/>
        <w:autoSpaceDN w:val="0"/>
        <w:adjustRightInd w:val="0"/>
        <w:spacing w:line="312" w:lineRule="auto"/>
        <w:jc w:val="center"/>
        <w:rPr>
          <w:rFonts w:hint="eastAsia" w:ascii="宋体" w:hAnsi="宋体" w:eastAsia="宋体" w:cs="宋体"/>
          <w:b/>
          <w:color w:val="auto"/>
          <w:spacing w:val="100"/>
          <w:kern w:val="0"/>
          <w:sz w:val="72"/>
          <w:szCs w:val="72"/>
          <w:highlight w:val="none"/>
        </w:rPr>
      </w:pPr>
      <w:r>
        <w:rPr>
          <w:rFonts w:hint="eastAsia" w:ascii="宋体" w:hAnsi="宋体" w:eastAsia="宋体" w:cs="宋体"/>
          <w:b/>
          <w:color w:val="auto"/>
          <w:spacing w:val="100"/>
          <w:kern w:val="0"/>
          <w:sz w:val="72"/>
          <w:szCs w:val="72"/>
          <w:highlight w:val="none"/>
        </w:rPr>
        <w:t>招标文件</w:t>
      </w:r>
    </w:p>
    <w:p>
      <w:pPr>
        <w:autoSpaceDE w:val="0"/>
        <w:autoSpaceDN w:val="0"/>
        <w:adjustRightInd w:val="0"/>
        <w:spacing w:line="312" w:lineRule="auto"/>
        <w:jc w:val="center"/>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项目编号：</w:t>
      </w:r>
      <w:r>
        <w:rPr>
          <w:rFonts w:hint="eastAsia" w:ascii="宋体" w:hAnsi="宋体" w:cs="宋体"/>
          <w:b/>
          <w:bCs/>
          <w:color w:val="auto"/>
          <w:kern w:val="0"/>
          <w:sz w:val="30"/>
          <w:szCs w:val="30"/>
          <w:highlight w:val="none"/>
          <w:lang w:eastAsia="zh-CN"/>
        </w:rPr>
        <w:t>SYZX2022-271</w:t>
      </w:r>
    </w:p>
    <w:p>
      <w:pPr>
        <w:autoSpaceDE w:val="0"/>
        <w:autoSpaceDN w:val="0"/>
        <w:adjustRightInd w:val="0"/>
        <w:spacing w:line="312" w:lineRule="auto"/>
        <w:jc w:val="left"/>
        <w:rPr>
          <w:rFonts w:hint="eastAsia" w:ascii="宋体" w:hAnsi="宋体" w:eastAsia="宋体" w:cs="宋体"/>
          <w:b/>
          <w:bCs/>
          <w:color w:val="auto"/>
          <w:kern w:val="0"/>
          <w:szCs w:val="21"/>
          <w:highlight w:val="none"/>
        </w:rPr>
      </w:pPr>
    </w:p>
    <w:p>
      <w:pPr>
        <w:spacing w:line="360" w:lineRule="auto"/>
        <w:rPr>
          <w:rFonts w:hint="eastAsia" w:ascii="宋体" w:hAnsi="宋体" w:eastAsia="宋体" w:cs="宋体"/>
          <w:b/>
          <w:bCs/>
          <w:color w:val="auto"/>
          <w:sz w:val="30"/>
          <w:szCs w:val="30"/>
          <w:highlight w:val="none"/>
        </w:rPr>
      </w:pPr>
    </w:p>
    <w:p>
      <w:pPr>
        <w:spacing w:line="360" w:lineRule="auto"/>
        <w:rPr>
          <w:rFonts w:hint="eastAsia" w:ascii="宋体" w:hAnsi="宋体" w:eastAsia="宋体" w:cs="宋体"/>
          <w:b/>
          <w:bCs/>
          <w:color w:val="auto"/>
          <w:sz w:val="30"/>
          <w:szCs w:val="30"/>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spacing w:before="120" w:beforeLines="50" w:after="120" w:afterLines="50"/>
        <w:ind w:firstLine="1494" w:firstLineChars="496"/>
        <w:rPr>
          <w:rFonts w:hint="eastAsia"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rPr>
        <w:t>采   购  人：</w:t>
      </w:r>
      <w:r>
        <w:rPr>
          <w:rFonts w:hint="eastAsia" w:ascii="宋体" w:hAnsi="宋体" w:eastAsia="宋体" w:cs="宋体"/>
          <w:b/>
          <w:bCs/>
          <w:color w:val="auto"/>
          <w:sz w:val="30"/>
          <w:szCs w:val="30"/>
          <w:highlight w:val="none"/>
          <w:u w:val="single"/>
        </w:rPr>
        <w:t>东北师范大学</w:t>
      </w:r>
      <w:r>
        <w:rPr>
          <w:rFonts w:hint="eastAsia" w:ascii="宋体" w:hAnsi="宋体" w:eastAsia="宋体" w:cs="宋体"/>
          <w:b/>
          <w:bCs/>
          <w:color w:val="auto"/>
          <w:sz w:val="30"/>
          <w:szCs w:val="30"/>
          <w:highlight w:val="none"/>
        </w:rPr>
        <w:t>（盖章）</w:t>
      </w:r>
    </w:p>
    <w:p>
      <w:pPr>
        <w:spacing w:before="120" w:beforeLines="50" w:after="120" w:afterLines="50"/>
        <w:rPr>
          <w:rFonts w:hint="eastAsia" w:ascii="宋体" w:hAnsi="宋体" w:eastAsia="宋体" w:cs="宋体"/>
          <w:b/>
          <w:bCs/>
          <w:color w:val="auto"/>
          <w:sz w:val="44"/>
          <w:szCs w:val="44"/>
          <w:highlight w:val="none"/>
        </w:rPr>
      </w:pPr>
    </w:p>
    <w:p>
      <w:pPr>
        <w:spacing w:before="120" w:beforeLines="50" w:after="120" w:afterLines="50"/>
        <w:rPr>
          <w:rFonts w:hint="eastAsia" w:ascii="宋体" w:hAnsi="宋体" w:eastAsia="宋体" w:cs="宋体"/>
          <w:b/>
          <w:bCs/>
          <w:color w:val="auto"/>
          <w:szCs w:val="28"/>
          <w:highlight w:val="none"/>
        </w:rPr>
      </w:pPr>
    </w:p>
    <w:p>
      <w:pPr>
        <w:spacing w:before="120" w:beforeLines="50" w:after="120" w:afterLines="50"/>
        <w:ind w:firstLine="602"/>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u w:val="single"/>
        </w:rPr>
        <w:t>吉林省晟裕工程咨询有限公司</w:t>
      </w:r>
      <w:r>
        <w:rPr>
          <w:rFonts w:hint="eastAsia" w:ascii="宋体" w:hAnsi="宋体" w:eastAsia="宋体" w:cs="宋体"/>
          <w:b/>
          <w:bCs/>
          <w:color w:val="auto"/>
          <w:sz w:val="30"/>
          <w:szCs w:val="30"/>
          <w:highlight w:val="none"/>
        </w:rPr>
        <w:t>（盖章）</w:t>
      </w:r>
    </w:p>
    <w:p>
      <w:pPr>
        <w:spacing w:line="360" w:lineRule="auto"/>
        <w:rPr>
          <w:rFonts w:hint="eastAsia" w:ascii="宋体" w:hAnsi="宋体" w:eastAsia="宋体" w:cs="宋体"/>
          <w:b/>
          <w:bCs/>
          <w:color w:val="auto"/>
          <w:kern w:val="0"/>
          <w:sz w:val="30"/>
          <w:szCs w:val="30"/>
          <w:highlight w:val="none"/>
        </w:rPr>
      </w:pPr>
    </w:p>
    <w:p>
      <w:pPr>
        <w:spacing w:line="360" w:lineRule="auto"/>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二〇二二年十一月</w:t>
      </w:r>
    </w:p>
    <w:p>
      <w:pPr>
        <w:spacing w:line="312" w:lineRule="auto"/>
        <w:jc w:val="center"/>
        <w:rPr>
          <w:rFonts w:hint="eastAsia" w:ascii="宋体" w:hAnsi="宋体" w:eastAsia="宋体" w:cs="宋体"/>
          <w:b/>
          <w:color w:val="auto"/>
          <w:sz w:val="43"/>
          <w:highlight w:val="none"/>
        </w:rPr>
        <w:sectPr>
          <w:type w:val="continuous"/>
          <w:pgSz w:w="11907" w:h="16840"/>
          <w:pgMar w:top="993" w:right="1174" w:bottom="1418" w:left="1273" w:header="851" w:footer="992" w:gutter="0"/>
          <w:cols w:space="720" w:num="1"/>
        </w:sectPr>
      </w:pPr>
    </w:p>
    <w:p>
      <w:pPr>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43"/>
          <w:highlight w:val="none"/>
        </w:rPr>
        <w:t>目录</w:t>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"1-3" \h \u </w:instrText>
      </w:r>
      <w:r>
        <w:rPr>
          <w:rFonts w:hint="eastAsia" w:ascii="宋体" w:hAnsi="宋体" w:eastAsia="宋体" w:cs="宋体"/>
          <w:b/>
          <w:color w:val="auto"/>
          <w:sz w:val="24"/>
          <w:szCs w:val="24"/>
          <w:highlight w:val="none"/>
        </w:rPr>
        <w:fldChar w:fldCharType="separate"/>
      </w:r>
    </w:p>
    <w:p>
      <w:pPr>
        <w:pStyle w:val="19"/>
        <w:tabs>
          <w:tab w:val="right" w:leader="dot" w:pos="9240"/>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"_Toc1042"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szCs w:val="24"/>
          <w:highlight w:val="none"/>
        </w:rPr>
        <w:t>第一章 招标公告（资格后审）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240"/>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"_Toc21676"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_Toc21676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240"/>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"_Toc26628"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第三章 评标办法（综合评分法）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_Toc26628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240"/>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"_Toc10570"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第四章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_Toc10570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240"/>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"_Toc17218"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第五章 项目需求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_Toc17218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240"/>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"_Toc26925"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_Toc26925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spacing w:line="312" w:lineRule="auto"/>
        <w:jc w:val="center"/>
        <w:rPr>
          <w:rFonts w:hint="eastAsia" w:ascii="宋体" w:hAnsi="宋体" w:eastAsia="宋体" w:cs="宋体"/>
          <w:b/>
          <w:color w:val="auto"/>
          <w:sz w:val="43"/>
          <w:highlight w:val="none"/>
        </w:rPr>
      </w:pPr>
      <w:r>
        <w:rPr>
          <w:rFonts w:hint="eastAsia" w:ascii="宋体" w:hAnsi="宋体" w:eastAsia="宋体" w:cs="宋体"/>
          <w:color w:val="auto"/>
          <w:sz w:val="24"/>
          <w:szCs w:val="24"/>
          <w:highlight w:val="none"/>
        </w:rPr>
        <w:fldChar w:fldCharType="end"/>
      </w:r>
    </w:p>
    <w:p>
      <w:pPr>
        <w:spacing w:line="312" w:lineRule="auto"/>
        <w:jc w:val="left"/>
        <w:rPr>
          <w:rFonts w:hint="eastAsia" w:ascii="宋体" w:hAnsi="宋体" w:eastAsia="宋体" w:cs="宋体"/>
          <w:b/>
          <w:color w:val="auto"/>
          <w:sz w:val="43"/>
          <w:highlight w:val="none"/>
        </w:rPr>
      </w:pPr>
    </w:p>
    <w:p>
      <w:pPr>
        <w:spacing w:line="312" w:lineRule="auto"/>
        <w:jc w:val="left"/>
        <w:rPr>
          <w:rFonts w:hint="eastAsia" w:ascii="宋体" w:hAnsi="宋体" w:eastAsia="宋体" w:cs="宋体"/>
          <w:b/>
          <w:color w:val="auto"/>
          <w:sz w:val="43"/>
          <w:highlight w:val="none"/>
        </w:rPr>
      </w:pPr>
    </w:p>
    <w:p>
      <w:pPr>
        <w:autoSpaceDE w:val="0"/>
        <w:autoSpaceDN w:val="0"/>
        <w:adjustRightInd w:val="0"/>
        <w:spacing w:line="312" w:lineRule="auto"/>
        <w:jc w:val="center"/>
        <w:outlineLvl w:val="0"/>
        <w:rPr>
          <w:rFonts w:hint="eastAsia" w:ascii="宋体" w:hAnsi="宋体" w:eastAsia="宋体" w:cs="宋体"/>
          <w:b/>
          <w:bCs/>
          <w:color w:val="auto"/>
          <w:sz w:val="36"/>
          <w:szCs w:val="36"/>
          <w:highlight w:val="none"/>
        </w:rPr>
        <w:sectPr>
          <w:footerReference r:id="rId3" w:type="default"/>
          <w:pgSz w:w="11907" w:h="16840"/>
          <w:pgMar w:top="993" w:right="1394" w:bottom="1134" w:left="1273" w:header="851" w:footer="992" w:gutter="0"/>
          <w:pgNumType w:start="1"/>
          <w:cols w:space="720" w:num="1"/>
        </w:sectPr>
      </w:pPr>
    </w:p>
    <w:p>
      <w:pPr>
        <w:autoSpaceDE w:val="0"/>
        <w:autoSpaceDN w:val="0"/>
        <w:adjustRightInd w:val="0"/>
        <w:spacing w:line="312" w:lineRule="auto"/>
        <w:jc w:val="center"/>
        <w:outlineLvl w:val="0"/>
        <w:rPr>
          <w:rFonts w:hint="eastAsia" w:ascii="宋体" w:hAnsi="宋体" w:eastAsia="宋体" w:cs="宋体"/>
          <w:b/>
          <w:bCs/>
          <w:color w:val="auto"/>
          <w:highlight w:val="none"/>
          <w:lang w:val="zh-CN"/>
        </w:rPr>
      </w:pPr>
      <w:bookmarkStart w:id="0" w:name="_Toc1042"/>
      <w:r>
        <w:rPr>
          <w:rFonts w:hint="eastAsia" w:ascii="宋体" w:hAnsi="宋体" w:eastAsia="宋体" w:cs="宋体"/>
          <w:b/>
          <w:bCs/>
          <w:color w:val="auto"/>
          <w:sz w:val="36"/>
          <w:szCs w:val="36"/>
          <w:highlight w:val="none"/>
        </w:rPr>
        <w:t xml:space="preserve">第一章 </w:t>
      </w:r>
      <w:bookmarkStart w:id="47" w:name="_GoBack"/>
      <w:r>
        <w:rPr>
          <w:rFonts w:hint="eastAsia" w:ascii="宋体" w:hAnsi="宋体" w:eastAsia="宋体" w:cs="宋体"/>
          <w:b/>
          <w:bCs/>
          <w:color w:val="auto"/>
          <w:sz w:val="36"/>
          <w:szCs w:val="36"/>
          <w:highlight w:val="none"/>
        </w:rPr>
        <w:t>招标公告（资格后审）</w:t>
      </w:r>
      <w:bookmarkEnd w:id="0"/>
    </w:p>
    <w:p>
      <w:pPr>
        <w:autoSpaceDE w:val="0"/>
        <w:autoSpaceDN w:val="0"/>
        <w:adjustRightInd w:val="0"/>
        <w:spacing w:before="120" w:beforeLines="50" w:after="120" w:afterLines="50" w:line="360" w:lineRule="auto"/>
        <w:jc w:val="center"/>
        <w:rPr>
          <w:rFonts w:hint="eastAsia" w:ascii="宋体" w:hAnsi="宋体" w:eastAsia="宋体" w:cs="宋体"/>
          <w:color w:val="auto"/>
          <w:highlight w:val="none"/>
        </w:rPr>
      </w:pPr>
      <w:r>
        <w:rPr>
          <w:rFonts w:hint="eastAsia" w:ascii="宋体" w:hAnsi="宋体" w:eastAsia="宋体" w:cs="宋体"/>
          <w:bCs/>
          <w:color w:val="auto"/>
          <w:szCs w:val="21"/>
          <w:highlight w:val="none"/>
          <w:lang w:val="zh-CN"/>
        </w:rPr>
        <w:t>招标项目编号：</w:t>
      </w:r>
      <w:r>
        <w:rPr>
          <w:rFonts w:hint="eastAsia" w:ascii="宋体" w:hAnsi="宋体" w:cs="宋体"/>
          <w:bCs/>
          <w:color w:val="auto"/>
          <w:szCs w:val="21"/>
          <w:highlight w:val="none"/>
          <w:lang w:val="zh-CN"/>
        </w:rPr>
        <w:t>SYZX2022-271</w:t>
      </w:r>
    </w:p>
    <w:p>
      <w:pPr>
        <w:widowControl w:val="0"/>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widowControl w:val="0"/>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u w:val="single"/>
          <w:lang w:val="zh-CN"/>
        </w:rPr>
        <w:t>东北师范大学化学学院电喷雾离子淌度质谱仪（进口）设备采购（二次）</w:t>
      </w:r>
      <w:r>
        <w:rPr>
          <w:rFonts w:hint="eastAsia" w:ascii="宋体" w:hAnsi="宋体" w:eastAsia="宋体" w:cs="宋体"/>
          <w:color w:val="auto"/>
          <w:szCs w:val="21"/>
          <w:highlight w:val="none"/>
          <w:lang w:val="zh-CN"/>
        </w:rPr>
        <w:t>的潜在投标人应</w:t>
      </w:r>
      <w:r>
        <w:rPr>
          <w:rFonts w:hint="eastAsia" w:ascii="宋体" w:hAnsi="宋体" w:eastAsia="宋体" w:cs="宋体"/>
          <w:color w:val="auto"/>
          <w:szCs w:val="21"/>
          <w:highlight w:val="none"/>
        </w:rPr>
        <w:t>以网络形式（详见三、获取</w:t>
      </w:r>
      <w:r>
        <w:rPr>
          <w:rFonts w:hint="eastAsia" w:ascii="宋体" w:hAnsi="宋体" w:eastAsia="宋体" w:cs="宋体"/>
          <w:color w:val="auto"/>
          <w:szCs w:val="21"/>
          <w:highlight w:val="none"/>
          <w:lang w:val="zh-CN"/>
        </w:rPr>
        <w:t>招标文件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获取招标文件，并于</w:t>
      </w:r>
      <w:r>
        <w:rPr>
          <w:rFonts w:hint="eastAsia" w:ascii="宋体" w:hAnsi="宋体" w:cs="宋体"/>
          <w:color w:val="auto"/>
          <w:szCs w:val="21"/>
          <w:highlight w:val="none"/>
          <w:u w:val="single"/>
          <w:lang w:val="zh-CN"/>
        </w:rPr>
        <w:t>2022年12月19日10时30分</w:t>
      </w:r>
      <w:r>
        <w:rPr>
          <w:rFonts w:hint="eastAsia" w:ascii="宋体" w:hAnsi="宋体" w:eastAsia="宋体" w:cs="宋体"/>
          <w:color w:val="auto"/>
          <w:szCs w:val="21"/>
          <w:highlight w:val="none"/>
          <w:lang w:val="zh-CN"/>
        </w:rPr>
        <w:t>（北京时间）前递交投标文件。</w:t>
      </w:r>
    </w:p>
    <w:p>
      <w:pPr>
        <w:widowControl w:val="0"/>
        <w:numPr>
          <w:ilvl w:val="0"/>
          <w:numId w:val="1"/>
        </w:num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项目基本情况</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1.1项目编号：</w:t>
      </w:r>
      <w:r>
        <w:rPr>
          <w:rFonts w:hint="eastAsia" w:ascii="宋体" w:hAnsi="宋体" w:cs="宋体"/>
          <w:color w:val="auto"/>
          <w:szCs w:val="21"/>
          <w:highlight w:val="none"/>
          <w:lang w:eastAsia="zh-CN"/>
        </w:rPr>
        <w:t>SYZX2022-271</w:t>
      </w:r>
      <w:r>
        <w:rPr>
          <w:rFonts w:hint="eastAsia" w:ascii="宋体" w:hAnsi="宋体" w:eastAsia="宋体" w:cs="宋体"/>
          <w:color w:val="auto"/>
          <w:szCs w:val="21"/>
          <w:highlight w:val="none"/>
        </w:rPr>
        <w:t>。</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1.2项目名称：</w:t>
      </w:r>
      <w:r>
        <w:rPr>
          <w:rFonts w:hint="eastAsia" w:ascii="宋体" w:hAnsi="宋体" w:cs="宋体"/>
          <w:color w:val="auto"/>
          <w:szCs w:val="21"/>
          <w:highlight w:val="none"/>
          <w:lang w:eastAsia="zh-CN"/>
        </w:rPr>
        <w:t>东北师范大学化学学院电喷雾离子淌度质谱仪（进口）设备采购（二次）</w:t>
      </w:r>
      <w:r>
        <w:rPr>
          <w:rFonts w:hint="eastAsia" w:ascii="宋体" w:hAnsi="宋体" w:eastAsia="宋体" w:cs="宋体"/>
          <w:color w:val="auto"/>
          <w:szCs w:val="21"/>
          <w:highlight w:val="none"/>
        </w:rPr>
        <w:t>。</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 采购方式：公开招标。</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1.4预算金额：</w:t>
      </w:r>
      <w:r>
        <w:rPr>
          <w:rFonts w:hint="eastAsia" w:ascii="宋体" w:hAnsi="宋体" w:cs="宋体"/>
          <w:color w:val="auto"/>
          <w:szCs w:val="21"/>
          <w:highlight w:val="none"/>
          <w:lang w:eastAsia="zh-CN"/>
        </w:rPr>
        <w:t>61.954</w:t>
      </w:r>
      <w:r>
        <w:rPr>
          <w:rFonts w:hint="eastAsia" w:ascii="宋体" w:hAnsi="宋体" w:eastAsia="宋体" w:cs="宋体"/>
          <w:color w:val="auto"/>
          <w:szCs w:val="21"/>
          <w:highlight w:val="none"/>
          <w:lang w:eastAsia="zh-CN"/>
        </w:rPr>
        <w:t>万美元</w:t>
      </w:r>
      <w:r>
        <w:rPr>
          <w:rFonts w:hint="eastAsia" w:ascii="宋体" w:hAnsi="宋体" w:eastAsia="宋体" w:cs="宋体"/>
          <w:color w:val="auto"/>
          <w:szCs w:val="21"/>
          <w:highlight w:val="none"/>
        </w:rPr>
        <w:t>（人民币限额</w:t>
      </w:r>
      <w:r>
        <w:rPr>
          <w:rFonts w:hint="eastAsia" w:ascii="宋体" w:hAnsi="宋体" w:eastAsia="宋体" w:cs="宋体"/>
          <w:color w:val="auto"/>
          <w:szCs w:val="21"/>
          <w:highlight w:val="none"/>
          <w:lang w:eastAsia="zh-CN"/>
        </w:rPr>
        <w:t>445万元</w:t>
      </w:r>
      <w:r>
        <w:rPr>
          <w:rFonts w:hint="eastAsia" w:ascii="宋体" w:hAnsi="宋体" w:eastAsia="宋体" w:cs="宋体"/>
          <w:color w:val="auto"/>
          <w:szCs w:val="21"/>
          <w:highlight w:val="none"/>
        </w:rPr>
        <w:t>）。</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1.5采购需求：一套电喷雾离子淌度质谱仪（详见招标文件“第五章 项目需求”）。</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1.6合同履行期限（供货期）：合同签订之日起300日内完成交付、安装及调试。</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1.7本项目不接受联合体投标。 </w:t>
      </w:r>
    </w:p>
    <w:p>
      <w:pPr>
        <w:widowControl w:val="0"/>
        <w:numPr>
          <w:ilvl w:val="0"/>
          <w:numId w:val="1"/>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投标人资格要求：</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1.满足《中华人民共和国政府采购法》第二十二条规定，即：</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（1）具有独立承担民事责任的能力；</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（2）具有良好的商业信誉和健全的财务会计制度；</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（3）具有履行合同所必需的设备和专业技术能力；</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（4）有依法缴纳税收和社会保障资金的良好记录；</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（5）参加政府采购活动前三年内，在经营活动中没有重大违法记录；</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（6）法律、行政法规规定的其他条件。</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 xml:space="preserve">2.落实政府采购政策需满足的资格要求：无 </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3.本项目的特定资格要求：</w:t>
      </w:r>
    </w:p>
    <w:p>
      <w:pPr>
        <w:spacing w:line="360" w:lineRule="auto"/>
        <w:ind w:firstLine="420" w:firstLineChars="200"/>
        <w:rPr>
          <w:rFonts w:hint="eastAsia" w:ascii="宋体" w:hAnsi="宋体" w:eastAsia="宋体" w:cs="宋体"/>
          <w:bCs/>
          <w:color w:val="auto"/>
          <w:kern w:val="44"/>
          <w:szCs w:val="21"/>
          <w:highlight w:val="none"/>
          <w:lang w:val="zh-CN"/>
        </w:rPr>
      </w:pPr>
      <w:r>
        <w:rPr>
          <w:rFonts w:hint="eastAsia" w:ascii="宋体" w:hAnsi="宋体" w:eastAsia="宋体" w:cs="宋体"/>
          <w:bCs/>
          <w:color w:val="auto"/>
          <w:kern w:val="44"/>
          <w:szCs w:val="21"/>
          <w:highlight w:val="none"/>
        </w:rPr>
        <w:t>3.1</w:t>
      </w:r>
      <w:r>
        <w:rPr>
          <w:rFonts w:hint="eastAsia" w:ascii="宋体" w:hAnsi="宋体" w:eastAsia="宋体" w:cs="宋体"/>
          <w:bCs/>
          <w:color w:val="auto"/>
          <w:kern w:val="44"/>
          <w:szCs w:val="21"/>
          <w:highlight w:val="none"/>
          <w:lang w:val="zh-CN"/>
        </w:rPr>
        <w:t>在中华人民共和国境内注册，有能力提供相应产品和服务。</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3.2若代理商投标，必须具有所投产品生产厂家出具的有效授权或同等效力证明；若经销商投标，必须具有所投产品生产厂家针对代理商的有效授权或同等效力证明及该代理商对投标经销商的有效授权。</w:t>
      </w:r>
    </w:p>
    <w:p>
      <w:pPr>
        <w:spacing w:line="360" w:lineRule="auto"/>
        <w:ind w:firstLine="420" w:firstLineChars="200"/>
        <w:rPr>
          <w:rFonts w:hint="eastAsia" w:ascii="宋体" w:hAnsi="宋体" w:eastAsia="宋体" w:cs="宋体"/>
          <w:bCs/>
          <w:color w:val="auto"/>
          <w:kern w:val="44"/>
          <w:szCs w:val="21"/>
          <w:highlight w:val="none"/>
          <w:lang w:val="zh-CN"/>
        </w:rPr>
      </w:pPr>
      <w:r>
        <w:rPr>
          <w:rFonts w:hint="eastAsia" w:ascii="宋体" w:hAnsi="宋体" w:eastAsia="宋体" w:cs="宋体"/>
          <w:bCs/>
          <w:color w:val="auto"/>
          <w:kern w:val="44"/>
          <w:szCs w:val="21"/>
          <w:highlight w:val="none"/>
        </w:rPr>
        <w:t>3.3近三年（2019年、2020年、2021年）财务状况良好，具有经会计师事务所或者审计机构审计的财务审计报告</w:t>
      </w:r>
      <w:r>
        <w:rPr>
          <w:rFonts w:hint="eastAsia" w:ascii="宋体" w:hAnsi="宋体" w:eastAsia="宋体" w:cs="宋体"/>
          <w:color w:val="auto"/>
          <w:highlight w:val="none"/>
        </w:rPr>
        <w:t>或具有基本账户开户银行出具的资信证明（须于2022年出具）</w:t>
      </w:r>
      <w:r>
        <w:rPr>
          <w:rFonts w:hint="eastAsia" w:ascii="宋体" w:hAnsi="宋体" w:eastAsia="宋体" w:cs="宋体"/>
          <w:bCs/>
          <w:color w:val="auto"/>
          <w:kern w:val="44"/>
          <w:szCs w:val="21"/>
          <w:highlight w:val="none"/>
        </w:rPr>
        <w:t>。（成立年限不足三年的提供成立之日起到2021年度的审计报告即可；2021年成立至2022年1月1日不足1年或2022年成立的公司提供加盖公章的财务报表即可）</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3.4投标人需提供近一年（</w:t>
      </w:r>
      <w:r>
        <w:rPr>
          <w:rFonts w:hint="eastAsia" w:ascii="宋体" w:hAnsi="宋体" w:eastAsia="宋体" w:cs="宋体"/>
          <w:bCs/>
          <w:color w:val="auto"/>
          <w:kern w:val="44"/>
          <w:szCs w:val="21"/>
          <w:highlight w:val="none"/>
          <w:lang w:eastAsia="zh-CN"/>
        </w:rPr>
        <w:t>2021年11月1日至2022年10月31日</w:t>
      </w:r>
      <w:r>
        <w:rPr>
          <w:rFonts w:hint="eastAsia" w:ascii="宋体" w:hAnsi="宋体" w:eastAsia="宋体" w:cs="宋体"/>
          <w:bCs/>
          <w:color w:val="auto"/>
          <w:kern w:val="44"/>
          <w:szCs w:val="21"/>
          <w:highlight w:val="none"/>
        </w:rPr>
        <w:t>）任意一个月的缴纳社保证明、纳税证明材料。（依法免税或不需要缴纳社会保障资金的投标人，应提供相应证明文件证明其依法免税或不需要缴纳社会保险资金）</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3.5与采购人存在利害关系可能影响招标公正性的法人、其他组织或者个人，不得参与本项目。单位负责人为同一人或者存在直接控股、管理关系的不同供应商，不得参加同一合同项下的采购活动。</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3.6中国裁判文书网（http://wenshu.court.gov.cn/）中投标人近三年须无行贿犯罪记录。</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3.7未被列入信用中国网（www.creditchina.gov.cn）渠道信用记录失信被执行人、重大税收违法案件当事人名单（即“税收违法黑名单”）；未被列入中国政府采购网（http://www.ccgp.gov.cn）政府采购严重违法失信行为记录名单。</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3.8根据教育部审计（教财经责报[2017]22号）要求，不接受涉及我校刑事案件投标人参与投标。</w:t>
      </w:r>
    </w:p>
    <w:p>
      <w:pPr>
        <w:spacing w:line="360" w:lineRule="auto"/>
        <w:ind w:firstLine="420" w:firstLineChars="200"/>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三、获取招标文件</w:t>
      </w:r>
    </w:p>
    <w:p>
      <w:pPr>
        <w:pStyle w:val="5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窗体顶端</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kern w:val="44"/>
          <w:szCs w:val="21"/>
          <w:highlight w:val="none"/>
        </w:rPr>
        <w:t>时间：2022年1</w:t>
      </w:r>
      <w:r>
        <w:rPr>
          <w:rFonts w:hint="eastAsia" w:ascii="宋体" w:hAnsi="宋体" w:cs="宋体"/>
          <w:bCs/>
          <w:color w:val="auto"/>
          <w:kern w:val="44"/>
          <w:szCs w:val="21"/>
          <w:highlight w:val="none"/>
          <w:lang w:val="en-US" w:eastAsia="zh-CN"/>
        </w:rPr>
        <w:t>1</w:t>
      </w:r>
      <w:r>
        <w:rPr>
          <w:rFonts w:hint="eastAsia" w:ascii="宋体" w:hAnsi="宋体" w:eastAsia="宋体" w:cs="宋体"/>
          <w:bCs/>
          <w:color w:val="auto"/>
          <w:kern w:val="44"/>
          <w:szCs w:val="21"/>
          <w:highlight w:val="none"/>
        </w:rPr>
        <w:t>月</w:t>
      </w:r>
      <w:r>
        <w:rPr>
          <w:rFonts w:hint="eastAsia" w:ascii="宋体" w:hAnsi="宋体" w:cs="宋体"/>
          <w:bCs/>
          <w:color w:val="auto"/>
          <w:kern w:val="44"/>
          <w:szCs w:val="21"/>
          <w:highlight w:val="none"/>
          <w:lang w:val="en-US" w:eastAsia="zh-CN"/>
        </w:rPr>
        <w:t>28</w:t>
      </w:r>
      <w:r>
        <w:rPr>
          <w:rFonts w:hint="eastAsia" w:ascii="宋体" w:hAnsi="宋体" w:eastAsia="宋体" w:cs="宋体"/>
          <w:bCs/>
          <w:color w:val="auto"/>
          <w:kern w:val="44"/>
          <w:szCs w:val="21"/>
          <w:highlight w:val="none"/>
        </w:rPr>
        <w:t>日至2022年1</w:t>
      </w:r>
      <w:r>
        <w:rPr>
          <w:rFonts w:hint="eastAsia" w:ascii="宋体" w:hAnsi="宋体" w:cs="宋体"/>
          <w:bCs/>
          <w:color w:val="auto"/>
          <w:kern w:val="44"/>
          <w:szCs w:val="21"/>
          <w:highlight w:val="none"/>
          <w:lang w:val="en-US" w:eastAsia="zh-CN"/>
        </w:rPr>
        <w:t>2</w:t>
      </w:r>
      <w:r>
        <w:rPr>
          <w:rFonts w:hint="eastAsia" w:ascii="宋体" w:hAnsi="宋体" w:eastAsia="宋体" w:cs="宋体"/>
          <w:bCs/>
          <w:color w:val="auto"/>
          <w:kern w:val="44"/>
          <w:szCs w:val="21"/>
          <w:highlight w:val="none"/>
        </w:rPr>
        <w:t>月</w:t>
      </w:r>
      <w:r>
        <w:rPr>
          <w:rFonts w:hint="eastAsia" w:ascii="宋体" w:hAnsi="宋体" w:cs="宋体"/>
          <w:bCs/>
          <w:color w:val="auto"/>
          <w:kern w:val="44"/>
          <w:szCs w:val="21"/>
          <w:highlight w:val="none"/>
          <w:lang w:val="en-US" w:eastAsia="zh-CN"/>
        </w:rPr>
        <w:t>2</w:t>
      </w:r>
      <w:r>
        <w:rPr>
          <w:rFonts w:hint="eastAsia" w:ascii="宋体" w:hAnsi="宋体" w:eastAsia="宋体" w:cs="宋体"/>
          <w:bCs/>
          <w:color w:val="auto"/>
          <w:kern w:val="44"/>
          <w:szCs w:val="21"/>
          <w:highlight w:val="none"/>
        </w:rPr>
        <w:t>日，每天上午9时00分至11时30分，下午13时30分</w:t>
      </w:r>
      <w:r>
        <w:rPr>
          <w:rFonts w:hint="eastAsia" w:ascii="宋体" w:hAnsi="宋体" w:eastAsia="宋体" w:cs="宋体"/>
          <w:bCs/>
          <w:color w:val="auto"/>
          <w:szCs w:val="21"/>
          <w:highlight w:val="none"/>
        </w:rPr>
        <w:t>至16时00分（北京时间，法定公休日、法定节假日除外）；</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地点：网上获取；</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方式：将企业法定代表人授权委托书、被授权人的身份证复印件加盖公章的彩色扫描件及被授权人联系电话发至采购代理机构邮箱syzb5171@163.com中（邮件主题备注：</w:t>
      </w:r>
      <w:r>
        <w:rPr>
          <w:rFonts w:hint="eastAsia" w:ascii="宋体" w:hAnsi="宋体" w:cs="宋体"/>
          <w:color w:val="auto"/>
          <w:szCs w:val="21"/>
          <w:highlight w:val="none"/>
          <w:lang w:eastAsia="zh-CN"/>
        </w:rPr>
        <w:t>东北师范大学化学学院电喷雾离子淌度质谱仪（进口）设备采购（二次）</w:t>
      </w:r>
      <w:r>
        <w:rPr>
          <w:rFonts w:hint="eastAsia" w:ascii="宋体" w:hAnsi="宋体" w:eastAsia="宋体" w:cs="宋体"/>
          <w:bCs/>
          <w:color w:val="auto"/>
          <w:szCs w:val="21"/>
          <w:highlight w:val="none"/>
        </w:rPr>
        <w:t>+公司简称）；电子邮件发出后请联系采购代理机构联系人（联系电话：0431-86805171）检查资料的完整性，检查通过后方可递交招标文件款并获取招标文件，获取招标文件后，方可参与本项目。未按上述流程操作造成的损失由投标人自行负责。</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售价：人民币1000元，售后不退。</w:t>
      </w:r>
    </w:p>
    <w:p>
      <w:pPr>
        <w:spacing w:line="360" w:lineRule="auto"/>
        <w:rPr>
          <w:rFonts w:hint="eastAsia"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四、提交投标文件截止时间、开标时间和地点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44"/>
          <w:szCs w:val="21"/>
          <w:highlight w:val="none"/>
        </w:rPr>
        <w:t>4.1</w:t>
      </w:r>
      <w:r>
        <w:rPr>
          <w:rFonts w:hint="eastAsia" w:ascii="宋体" w:hAnsi="宋体" w:eastAsia="宋体" w:cs="宋体"/>
          <w:color w:val="auto"/>
          <w:szCs w:val="21"/>
          <w:highlight w:val="none"/>
        </w:rPr>
        <w:t>提交投标文件截止时间：</w:t>
      </w:r>
      <w:r>
        <w:rPr>
          <w:rFonts w:hint="eastAsia" w:ascii="宋体" w:hAnsi="宋体" w:cs="宋体"/>
          <w:color w:val="auto"/>
          <w:szCs w:val="21"/>
          <w:highlight w:val="none"/>
          <w:u w:val="single"/>
          <w:lang w:val="zh-CN"/>
        </w:rPr>
        <w:t>2022年12月19日10时30分</w:t>
      </w:r>
      <w:r>
        <w:rPr>
          <w:rFonts w:hint="eastAsia" w:ascii="宋体" w:hAnsi="宋体" w:eastAsia="宋体" w:cs="宋体"/>
          <w:color w:val="auto"/>
          <w:szCs w:val="21"/>
          <w:highlight w:val="none"/>
        </w:rPr>
        <w:t>（北京时间）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4.2开标时间：</w:t>
      </w:r>
      <w:r>
        <w:rPr>
          <w:rFonts w:hint="eastAsia" w:ascii="宋体" w:hAnsi="宋体" w:cs="宋体"/>
          <w:color w:val="auto"/>
          <w:szCs w:val="21"/>
          <w:highlight w:val="none"/>
          <w:u w:val="single"/>
          <w:lang w:val="zh-CN"/>
        </w:rPr>
        <w:t>2022年12月19日10时30分</w:t>
      </w:r>
      <w:r>
        <w:rPr>
          <w:rFonts w:hint="eastAsia" w:ascii="宋体" w:hAnsi="宋体" w:eastAsia="宋体" w:cs="宋体"/>
          <w:color w:val="auto"/>
          <w:szCs w:val="21"/>
          <w:highlight w:val="none"/>
        </w:rPr>
        <w:t>（北京时间）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4.3开标地点：</w:t>
      </w:r>
      <w:r>
        <w:rPr>
          <w:rFonts w:hint="eastAsia" w:ascii="宋体" w:hAnsi="宋体" w:eastAsia="宋体" w:cs="宋体"/>
          <w:color w:val="auto"/>
          <w:spacing w:val="14"/>
          <w:szCs w:val="21"/>
          <w:highlight w:val="none"/>
          <w:lang w:val="zh-CN"/>
        </w:rPr>
        <w:t>长春市春城大街789号吉林省晟裕工程咨询有限公司二楼</w:t>
      </w:r>
      <w:r>
        <w:rPr>
          <w:rFonts w:hint="eastAsia" w:ascii="宋体" w:hAnsi="宋体" w:eastAsia="宋体" w:cs="宋体"/>
          <w:color w:val="auto"/>
          <w:spacing w:val="14"/>
          <w:szCs w:val="21"/>
          <w:highlight w:val="none"/>
        </w:rPr>
        <w:t>会议室</w:t>
      </w:r>
      <w:r>
        <w:rPr>
          <w:rFonts w:hint="eastAsia" w:ascii="宋体" w:hAnsi="宋体" w:eastAsia="宋体" w:cs="宋体"/>
          <w:color w:val="auto"/>
          <w:szCs w:val="21"/>
          <w:highlight w:val="none"/>
        </w:rPr>
        <w:t>。</w:t>
      </w:r>
    </w:p>
    <w:p>
      <w:pPr>
        <w:widowControl w:val="0"/>
        <w:numPr>
          <w:ilvl w:val="0"/>
          <w:numId w:val="2"/>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公告期限</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pPr>
        <w:widowControl w:val="0"/>
        <w:numPr>
          <w:ilvl w:val="0"/>
          <w:numId w:val="2"/>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其他补充事宜</w:t>
      </w:r>
    </w:p>
    <w:p>
      <w:pPr>
        <w:pStyle w:val="5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窗体顶端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1.发布公告的媒介：本次招标公告在中国政府采购网、东北师范大学政府采购与招标管理中心网站上发布。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2.投标保证金：投标人在投标文件递交截止时间前，应按照有关规定提供不少于人民币捌万元的投标保证金。</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七、凡对本次采购提出询问，请按以下方式联系。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1.采购人：东北师范大学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地址：吉林省长春市人民大街5268号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联系人：陈老师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联系电话：0431-85099072</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2.采购代理机构：吉林省晟裕工程咨询有限公司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地址：长春市春城大街789号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联系人：胡丹贺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联系电话：0431-81727843、81759572</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项目联系人：陈老师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 话：13504304688   </w:t>
      </w:r>
    </w:p>
    <w:p>
      <w:pPr>
        <w:pStyle w:val="5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窗体底端</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八、扫黑除恶</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东北师范大学政府采购与招标管理中心为落实全国扫黑除恶专项斗争工作，查处欺行霸市、强买强卖、恶意竞标、强揽工程等招标采购过程中出现的黑恶行为，面向全社会征集举报线索，举报方式如下：</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1．通过东北师范大学扫黑除恶领导小组办公室（保卫处304室）接待师生举报；</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2．通过投寄举报信件至专用举报箱举报（举报箱分别设置在本部校区西门与净月校区雕塑门）；</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3．通过电话举报（0431-85099946、0431-85099208）；</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4．通过电子邮箱举报（bwc@nenu.edu.cn）；</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5．通过东北师范大学“安全小哨兵”网络平台举报。</w:t>
      </w:r>
      <w:bookmarkEnd w:id="47"/>
    </w:p>
    <w:p>
      <w:pPr>
        <w:pStyle w:val="24"/>
        <w:widowControl w:val="0"/>
        <w:spacing w:before="156" w:line="312" w:lineRule="auto"/>
        <w:jc w:val="right"/>
        <w:rPr>
          <w:rFonts w:hint="eastAsia" w:ascii="宋体" w:hAnsi="宋体" w:eastAsia="宋体" w:cs="宋体"/>
          <w:color w:val="auto"/>
          <w:sz w:val="21"/>
          <w:szCs w:val="21"/>
          <w:highlight w:val="none"/>
          <w:lang w:val="zh-CN"/>
        </w:rPr>
      </w:pPr>
    </w:p>
    <w:p>
      <w:pPr>
        <w:pStyle w:val="24"/>
        <w:widowControl w:val="0"/>
        <w:spacing w:before="156" w:line="312" w:lineRule="auto"/>
        <w:jc w:val="right"/>
        <w:rPr>
          <w:rFonts w:hint="eastAsia" w:ascii="宋体" w:hAnsi="宋体" w:eastAsia="宋体" w:cs="宋体"/>
          <w:color w:val="auto"/>
          <w:sz w:val="21"/>
          <w:szCs w:val="21"/>
          <w:highlight w:val="none"/>
          <w:lang w:val="zh-CN"/>
        </w:rPr>
      </w:pPr>
    </w:p>
    <w:p>
      <w:pPr>
        <w:autoSpaceDE w:val="0"/>
        <w:autoSpaceDN w:val="0"/>
        <w:adjustRightInd w:val="0"/>
        <w:spacing w:line="336"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line="312" w:lineRule="auto"/>
        <w:jc w:val="center"/>
        <w:rPr>
          <w:rFonts w:hint="eastAsia" w:ascii="宋体" w:hAnsi="宋体" w:eastAsia="宋体" w:cs="宋体"/>
          <w:color w:val="auto"/>
          <w:highlight w:val="none"/>
        </w:rPr>
      </w:pPr>
      <w:bookmarkStart w:id="1" w:name="_Toc21676"/>
      <w:r>
        <w:rPr>
          <w:rFonts w:hint="eastAsia" w:ascii="宋体" w:hAnsi="宋体" w:eastAsia="宋体" w:cs="宋体"/>
          <w:color w:val="auto"/>
          <w:highlight w:val="none"/>
        </w:rPr>
        <w:t>第二章 投标人须知</w:t>
      </w:r>
      <w:bookmarkEnd w:id="1"/>
    </w:p>
    <w:p>
      <w:pPr>
        <w:spacing w:line="312" w:lineRule="auto"/>
        <w:ind w:left="12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投标人须知前附表</w:t>
      </w:r>
    </w:p>
    <w:tbl>
      <w:tblPr>
        <w:tblStyle w:val="29"/>
        <w:tblW w:w="51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059"/>
        <w:gridCol w:w="6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053" w:type="pct"/>
            <w:vAlign w:val="center"/>
          </w:tcPr>
          <w:p>
            <w:pPr>
              <w:widowControl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3488" w:type="pct"/>
          </w:tcPr>
          <w:p>
            <w:pPr>
              <w:widowControl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w:t>
            </w:r>
          </w:p>
        </w:tc>
        <w:tc>
          <w:tcPr>
            <w:tcW w:w="1053" w:type="pct"/>
            <w:vAlign w:val="center"/>
          </w:tcPr>
          <w:p>
            <w:pPr>
              <w:widowControl w:val="0"/>
              <w:adjustRightInd w:val="0"/>
              <w:snapToGrid w:val="0"/>
              <w:spacing w:before="36" w:beforeLines="15"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w:t>
            </w:r>
          </w:p>
        </w:tc>
        <w:tc>
          <w:tcPr>
            <w:tcW w:w="3488" w:type="pct"/>
            <w:vAlign w:val="center"/>
          </w:tcPr>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采购人：东北师范大学</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地址：吉林省长春市人民大街5268号</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联系人：陈老师</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联系电话：0431-85099072</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项目联系人：陈老师</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 话：13504304688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1.1.3</w:t>
            </w:r>
          </w:p>
        </w:tc>
        <w:tc>
          <w:tcPr>
            <w:tcW w:w="1053" w:type="pct"/>
            <w:vAlign w:val="center"/>
          </w:tcPr>
          <w:p>
            <w:pPr>
              <w:widowControl w:val="0"/>
              <w:adjustRightInd w:val="0"/>
              <w:snapToGrid w:val="0"/>
              <w:spacing w:before="36" w:beforeLines="15"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w:t>
            </w:r>
          </w:p>
        </w:tc>
        <w:tc>
          <w:tcPr>
            <w:tcW w:w="3488" w:type="pct"/>
            <w:vAlign w:val="center"/>
          </w:tcPr>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采购代理机构：吉林省晟裕工程咨询有限公司</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地址：长春市春城大街789号</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联系人：胡丹贺</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联系电话：0431-81727843、81759572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1.1.4</w:t>
            </w:r>
          </w:p>
        </w:tc>
        <w:tc>
          <w:tcPr>
            <w:tcW w:w="1053" w:type="pct"/>
            <w:vAlign w:val="center"/>
          </w:tcPr>
          <w:p>
            <w:pPr>
              <w:widowControl w:val="0"/>
              <w:adjustRightInd w:val="0"/>
              <w:snapToGrid w:val="0"/>
              <w:spacing w:before="36" w:beforeLines="15"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3488" w:type="pct"/>
            <w:vAlign w:val="center"/>
          </w:tcPr>
          <w:p>
            <w:pPr>
              <w:widowControl w:val="0"/>
              <w:adjustRightInd w:val="0"/>
              <w:snapToGrid w:val="0"/>
              <w:spacing w:before="36" w:beforeLines="15"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项目名称：</w:t>
            </w:r>
            <w:r>
              <w:rPr>
                <w:rFonts w:hint="eastAsia" w:ascii="宋体" w:hAnsi="宋体" w:cs="宋体"/>
                <w:color w:val="auto"/>
                <w:szCs w:val="21"/>
                <w:highlight w:val="none"/>
                <w:lang w:val="zh-CN"/>
              </w:rPr>
              <w:t>东北师范大学化学学院电喷雾离子淌度质谱仪（进口）设备采购（二次）</w:t>
            </w:r>
          </w:p>
          <w:p>
            <w:pPr>
              <w:widowControl w:val="0"/>
              <w:adjustRightInd w:val="0"/>
              <w:snapToGrid w:val="0"/>
              <w:spacing w:before="36" w:beforeLines="15"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项目编号：</w:t>
            </w:r>
            <w:r>
              <w:rPr>
                <w:rFonts w:hint="eastAsia" w:ascii="宋体" w:hAnsi="宋体" w:cs="宋体"/>
                <w:color w:val="auto"/>
                <w:szCs w:val="21"/>
                <w:highlight w:val="none"/>
                <w:lang w:val="zh-CN"/>
              </w:rPr>
              <w:t>SYZX2022-271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1.2.1</w:t>
            </w:r>
          </w:p>
        </w:tc>
        <w:tc>
          <w:tcPr>
            <w:tcW w:w="1053" w:type="pct"/>
            <w:vAlign w:val="center"/>
          </w:tcPr>
          <w:p>
            <w:pPr>
              <w:widowControl w:val="0"/>
              <w:adjustRightInd w:val="0"/>
              <w:snapToGrid w:val="0"/>
              <w:spacing w:before="36" w:beforeLines="15"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3488" w:type="pct"/>
            <w:vAlign w:val="center"/>
          </w:tcPr>
          <w:p>
            <w:pPr>
              <w:widowControl w:val="0"/>
              <w:adjustRightInd w:val="0"/>
              <w:snapToGrid w:val="0"/>
              <w:spacing w:before="36" w:beforeLines="15"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1.3.1</w:t>
            </w:r>
          </w:p>
        </w:tc>
        <w:tc>
          <w:tcPr>
            <w:tcW w:w="1053" w:type="pct"/>
            <w:vAlign w:val="center"/>
          </w:tcPr>
          <w:p>
            <w:pPr>
              <w:widowControl w:val="0"/>
              <w:spacing w:line="360" w:lineRule="auto"/>
              <w:jc w:val="center"/>
              <w:rPr>
                <w:rFonts w:hint="eastAsia" w:ascii="宋体" w:hAnsi="宋体" w:eastAsia="宋体" w:cs="宋体"/>
                <w:color w:val="auto"/>
                <w:w w:val="99"/>
                <w:szCs w:val="21"/>
                <w:highlight w:val="none"/>
              </w:rPr>
            </w:pPr>
            <w:r>
              <w:rPr>
                <w:rFonts w:hint="eastAsia" w:ascii="宋体" w:hAnsi="宋体" w:eastAsia="宋体" w:cs="宋体"/>
                <w:color w:val="auto"/>
                <w:szCs w:val="21"/>
                <w:highlight w:val="none"/>
              </w:rPr>
              <w:t>招标范围</w:t>
            </w:r>
          </w:p>
        </w:tc>
        <w:tc>
          <w:tcPr>
            <w:tcW w:w="3488" w:type="pct"/>
            <w:vAlign w:val="center"/>
          </w:tcPr>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一套电喷雾离子淌度质谱仪</w:t>
            </w:r>
            <w:r>
              <w:rPr>
                <w:rFonts w:hint="eastAsia" w:ascii="宋体" w:hAnsi="宋体" w:eastAsia="宋体" w:cs="宋体"/>
                <w:bCs/>
                <w:color w:val="auto"/>
                <w:szCs w:val="21"/>
                <w:highlight w:val="none"/>
              </w:rPr>
              <w:t>（详见招标文件“第五章 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1.3.2</w:t>
            </w:r>
          </w:p>
        </w:tc>
        <w:tc>
          <w:tcPr>
            <w:tcW w:w="1053"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供货期</w:t>
            </w:r>
          </w:p>
        </w:tc>
        <w:tc>
          <w:tcPr>
            <w:tcW w:w="3488" w:type="pct"/>
            <w:vAlign w:val="center"/>
          </w:tcPr>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合同签订之日起300日内完成交付、安装及调试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1.3.3</w:t>
            </w:r>
          </w:p>
        </w:tc>
        <w:tc>
          <w:tcPr>
            <w:tcW w:w="1053" w:type="pct"/>
            <w:vAlign w:val="center"/>
          </w:tcPr>
          <w:p>
            <w:pPr>
              <w:widowControl w:val="0"/>
              <w:spacing w:line="360" w:lineRule="auto"/>
              <w:jc w:val="center"/>
              <w:rPr>
                <w:rFonts w:hint="eastAsia" w:ascii="宋体" w:hAnsi="宋体" w:eastAsia="宋体" w:cs="宋体"/>
                <w:color w:val="auto"/>
                <w:w w:val="98"/>
                <w:szCs w:val="21"/>
                <w:highlight w:val="none"/>
              </w:rPr>
            </w:pPr>
            <w:r>
              <w:rPr>
                <w:rFonts w:hint="eastAsia" w:ascii="宋体" w:hAnsi="宋体" w:eastAsia="宋体" w:cs="宋体"/>
                <w:color w:val="auto"/>
                <w:szCs w:val="21"/>
                <w:highlight w:val="none"/>
              </w:rPr>
              <w:t>供货地点</w:t>
            </w:r>
          </w:p>
        </w:tc>
        <w:tc>
          <w:tcPr>
            <w:tcW w:w="3488" w:type="pct"/>
            <w:vAlign w:val="center"/>
          </w:tcPr>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zh-CN"/>
              </w:rPr>
              <w:t>东北师范大学</w:t>
            </w:r>
            <w:r>
              <w:rPr>
                <w:rFonts w:hint="eastAsia" w:ascii="宋体" w:hAnsi="宋体" w:eastAsia="宋体" w:cs="宋体"/>
                <w:color w:val="auto"/>
                <w:szCs w:val="21"/>
                <w:highlight w:val="none"/>
              </w:rPr>
              <w:t>化学学院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1.3.4</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3488" w:type="pct"/>
            <w:vAlign w:val="center"/>
          </w:tcPr>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符合相关国际标准及招标文件要求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1.4.1</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投标人资质条件、能力、信誉</w:t>
            </w:r>
          </w:p>
        </w:tc>
        <w:tc>
          <w:tcPr>
            <w:tcW w:w="3488" w:type="pct"/>
          </w:tcPr>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1.满足《中华人民共和国政府采购法》第二十二条规定即：</w:t>
            </w:r>
          </w:p>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（1）具有独立承担民事责任的能力；</w:t>
            </w:r>
          </w:p>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（2）具有良好的商业信誉和健全的财务会计制度；</w:t>
            </w:r>
          </w:p>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（3）具有履行合同所必需的设备和专业技术能力；</w:t>
            </w:r>
          </w:p>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（4）有依法缴纳税收和社会保障资金的良好记录；</w:t>
            </w:r>
          </w:p>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（5）参加政府采购活动前三年内，在经营活动中没有重大违法记录；</w:t>
            </w:r>
          </w:p>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（6）法律、行政法规规定的其他条件。</w:t>
            </w:r>
          </w:p>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2.落实政府采购政策需满足的资格要求：无</w:t>
            </w:r>
          </w:p>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3.本项目的特定资格要求： </w:t>
            </w:r>
          </w:p>
          <w:p>
            <w:pPr>
              <w:widowControl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3.1</w:t>
            </w:r>
            <w:r>
              <w:rPr>
                <w:rFonts w:hint="eastAsia" w:ascii="宋体" w:hAnsi="宋体" w:eastAsia="宋体" w:cs="宋体"/>
                <w:bCs/>
                <w:color w:val="auto"/>
                <w:szCs w:val="21"/>
                <w:highlight w:val="none"/>
                <w:lang w:val="zh-CN"/>
              </w:rPr>
              <w:t>在中华人民共和国境内注册，有能力提供相应产品和服务。</w:t>
            </w:r>
          </w:p>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3.2若代理商投标，必须具有所投产品生产厂家出具的有效授权或同等效力证明；若经销商投标，必须具有所投产品生产厂家针对代理商的有效授权或同等效力证明及该代理商对投标经销商的有效授权。</w:t>
            </w:r>
          </w:p>
          <w:p>
            <w:pPr>
              <w:widowControl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3.3近三年（2019年、2020年、2021年）财务状况良好，具有经会计师事务所或者审计机构审计的财务审计报告</w:t>
            </w:r>
            <w:r>
              <w:rPr>
                <w:rFonts w:hint="eastAsia" w:ascii="宋体" w:hAnsi="宋体" w:eastAsia="宋体" w:cs="宋体"/>
                <w:color w:val="auto"/>
                <w:highlight w:val="none"/>
              </w:rPr>
              <w:t>或具有基本账户开户银行出具的资信证明（须于2022年出具）</w:t>
            </w:r>
            <w:r>
              <w:rPr>
                <w:rFonts w:hint="eastAsia" w:ascii="宋体" w:hAnsi="宋体" w:eastAsia="宋体" w:cs="宋体"/>
                <w:bCs/>
                <w:color w:val="auto"/>
                <w:szCs w:val="21"/>
                <w:highlight w:val="none"/>
              </w:rPr>
              <w:t>。（成立年限不足三年的提供成立之日起到2021年度的审计报告即可；2021年成立至2022年1月1日不足1年或2022年成立的公司提供加盖公章的财务报表即可）</w:t>
            </w:r>
          </w:p>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3.4投标人需提供近一年（</w:t>
            </w:r>
            <w:r>
              <w:rPr>
                <w:rFonts w:hint="eastAsia" w:ascii="宋体" w:hAnsi="宋体" w:eastAsia="宋体" w:cs="宋体"/>
                <w:bCs/>
                <w:color w:val="auto"/>
                <w:szCs w:val="21"/>
                <w:highlight w:val="none"/>
                <w:lang w:eastAsia="zh-CN"/>
              </w:rPr>
              <w:t>2021年11月1日至2022年10月31日</w:t>
            </w:r>
            <w:r>
              <w:rPr>
                <w:rFonts w:hint="eastAsia" w:ascii="宋体" w:hAnsi="宋体" w:eastAsia="宋体" w:cs="宋体"/>
                <w:bCs/>
                <w:color w:val="auto"/>
                <w:szCs w:val="21"/>
                <w:highlight w:val="none"/>
              </w:rPr>
              <w:t>）任意一个月的缴纳社保证明、纳税证明材料。（依法免税或不需要缴纳社会保障资金的投标人，应提供相应证明文件证明其依法免税或不需要缴纳社会保险资金）</w:t>
            </w:r>
          </w:p>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3.5与采购人存在利害关系可能影响招标公正性的法人、其他组织或者个人，不得参与本项目。单位负责人为同一人或者存在直接控股、管理关系的不同供应商，不得参加同一合同项下的采购活动。</w:t>
            </w:r>
          </w:p>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3.6中国裁判文书网（http://wenshu.court.gov.cn/）中投标人近三年须无行贿犯罪记录。</w:t>
            </w:r>
          </w:p>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3.7未被列入信用中国网（www.creditchina.gov.cn）渠道信用记录失信被执行人、重大税收违法案件当事人名单（即“税收违法黑名单”）；未被列入中国政府采购网（http://www.ccgp.gov.cn）政府采购严重违法失信行为记录名单。</w:t>
            </w:r>
          </w:p>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3.8根据教育部审计（教财经责报[2017]22号）要求，不接受涉及我校刑事案件投标人参与投标。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3488" w:type="pct"/>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3488" w:type="pct"/>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w:t>
            </w:r>
          </w:p>
        </w:tc>
        <w:tc>
          <w:tcPr>
            <w:tcW w:w="1053" w:type="pct"/>
            <w:vAlign w:val="center"/>
          </w:tcPr>
          <w:p>
            <w:pPr>
              <w:widowControl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投标预备会</w:t>
            </w:r>
          </w:p>
        </w:tc>
        <w:tc>
          <w:tcPr>
            <w:tcW w:w="3488" w:type="pct"/>
          </w:tcPr>
          <w:p>
            <w:pPr>
              <w:widowControl w:val="0"/>
              <w:spacing w:line="360" w:lineRule="auto"/>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投标人提出问题的截止时间</w:t>
            </w:r>
          </w:p>
        </w:tc>
        <w:tc>
          <w:tcPr>
            <w:tcW w:w="3488" w:type="pct"/>
          </w:tcPr>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截止时间：2022年1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日11时00分前</w:t>
            </w:r>
          </w:p>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递交地点：</w:t>
            </w:r>
            <w:r>
              <w:rPr>
                <w:rFonts w:hint="eastAsia" w:ascii="宋体" w:hAnsi="宋体" w:eastAsia="宋体" w:cs="宋体"/>
                <w:color w:val="auto"/>
                <w:szCs w:val="21"/>
                <w:highlight w:val="none"/>
                <w:lang w:val="zh-CN"/>
              </w:rPr>
              <w:t>吉林省晟裕工程咨询有限公司</w:t>
            </w:r>
            <w:r>
              <w:rPr>
                <w:rFonts w:hint="eastAsia" w:ascii="宋体" w:hAnsi="宋体" w:eastAsia="宋体" w:cs="宋体"/>
                <w:color w:val="auto"/>
                <w:szCs w:val="21"/>
                <w:highlight w:val="none"/>
              </w:rPr>
              <w:t>，各投标人须在截止时间前将对招标文件需澄清的问题以书面方式（“书面方式”包括手写、打印、印刷，本文件下同）</w:t>
            </w:r>
            <w:r>
              <w:rPr>
                <w:rFonts w:hint="eastAsia" w:ascii="宋体" w:hAnsi="宋体" w:eastAsia="宋体" w:cs="宋体"/>
                <w:color w:val="auto"/>
                <w:szCs w:val="21"/>
                <w:highlight w:val="none"/>
                <w:lang w:val="zh-CN"/>
              </w:rPr>
              <w:t>电子版文件</w:t>
            </w:r>
            <w:r>
              <w:rPr>
                <w:rFonts w:hint="eastAsia" w:ascii="宋体" w:hAnsi="宋体" w:eastAsia="宋体" w:cs="宋体"/>
                <w:color w:val="auto"/>
                <w:szCs w:val="21"/>
                <w:highlight w:val="none"/>
              </w:rPr>
              <w:t>（word</w:t>
            </w:r>
            <w:r>
              <w:rPr>
                <w:rFonts w:hint="eastAsia" w:ascii="宋体" w:hAnsi="宋体" w:eastAsia="宋体" w:cs="宋体"/>
                <w:color w:val="auto"/>
                <w:szCs w:val="21"/>
                <w:highlight w:val="none"/>
                <w:lang w:val="zh-CN"/>
              </w:rPr>
              <w:t>版本及加盖公章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鲜章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的</w:t>
            </w:r>
            <w:r>
              <w:rPr>
                <w:rFonts w:hint="eastAsia" w:ascii="宋体" w:hAnsi="宋体" w:eastAsia="宋体" w:cs="宋体"/>
                <w:color w:val="auto"/>
                <w:szCs w:val="21"/>
                <w:highlight w:val="none"/>
              </w:rPr>
              <w:t>PDF</w:t>
            </w:r>
            <w:r>
              <w:rPr>
                <w:rFonts w:hint="eastAsia" w:ascii="宋体" w:hAnsi="宋体" w:eastAsia="宋体" w:cs="宋体"/>
                <w:color w:val="auto"/>
                <w:szCs w:val="21"/>
                <w:highlight w:val="none"/>
                <w:lang w:val="zh-CN"/>
              </w:rPr>
              <w:t>扫描件版本</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传至代理公司邮箱</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"mailto:448530071@qq.com"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syzb9572@163.com</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），逾期不再接收任何问题。</w:t>
            </w:r>
          </w:p>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联系人：胡丹贺</w:t>
            </w:r>
          </w:p>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联系电话：0431-81727843、81759572</w:t>
            </w:r>
          </w:p>
          <w:p>
            <w:pPr>
              <w:widowControl w:val="0"/>
              <w:spacing w:line="360" w:lineRule="auto"/>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若投标人未按规定提交疑问，则视为其无疑问。（</w:t>
            </w:r>
            <w:r>
              <w:rPr>
                <w:rFonts w:hint="eastAsia" w:ascii="宋体" w:hAnsi="宋体" w:eastAsia="宋体" w:cs="宋体"/>
                <w:bCs/>
                <w:color w:val="auto"/>
                <w:szCs w:val="21"/>
                <w:highlight w:val="none"/>
              </w:rPr>
              <w:t>格式见附件</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1.10.3</w:t>
            </w:r>
          </w:p>
        </w:tc>
        <w:tc>
          <w:tcPr>
            <w:tcW w:w="1053"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招标文件澄清发出的形式</w:t>
            </w:r>
          </w:p>
        </w:tc>
        <w:tc>
          <w:tcPr>
            <w:tcW w:w="3488" w:type="pct"/>
            <w:vAlign w:val="center"/>
          </w:tcPr>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1.11.1</w:t>
            </w:r>
          </w:p>
        </w:tc>
        <w:tc>
          <w:tcPr>
            <w:tcW w:w="1053" w:type="pct"/>
            <w:vAlign w:val="center"/>
          </w:tcPr>
          <w:p>
            <w:pPr>
              <w:widowControl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分包、转包</w:t>
            </w:r>
          </w:p>
        </w:tc>
        <w:tc>
          <w:tcPr>
            <w:tcW w:w="3488" w:type="pct"/>
            <w:vAlign w:val="center"/>
          </w:tcPr>
          <w:p>
            <w:pPr>
              <w:widowControl w:val="0"/>
              <w:snapToGrid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1.12.1</w:t>
            </w:r>
          </w:p>
        </w:tc>
        <w:tc>
          <w:tcPr>
            <w:tcW w:w="1053" w:type="pct"/>
            <w:vAlign w:val="center"/>
          </w:tcPr>
          <w:p>
            <w:pPr>
              <w:widowControl w:val="0"/>
              <w:spacing w:line="360" w:lineRule="auto"/>
              <w:jc w:val="center"/>
              <w:rPr>
                <w:rFonts w:hint="eastAsia" w:ascii="宋体" w:hAnsi="宋体" w:eastAsia="宋体" w:cs="宋体"/>
                <w:color w:val="auto"/>
                <w:w w:val="99"/>
                <w:szCs w:val="21"/>
                <w:highlight w:val="none"/>
              </w:rPr>
            </w:pPr>
            <w:r>
              <w:rPr>
                <w:rFonts w:hint="eastAsia" w:ascii="宋体" w:hAnsi="宋体" w:eastAsia="宋体" w:cs="宋体"/>
                <w:color w:val="auto"/>
                <w:szCs w:val="21"/>
                <w:highlight w:val="none"/>
              </w:rPr>
              <w:t>实质性要求和条件</w:t>
            </w:r>
          </w:p>
        </w:tc>
        <w:tc>
          <w:tcPr>
            <w:tcW w:w="3488" w:type="pct"/>
            <w:vAlign w:val="center"/>
          </w:tcPr>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1.12.2</w:t>
            </w:r>
          </w:p>
        </w:tc>
        <w:tc>
          <w:tcPr>
            <w:tcW w:w="1053"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偏离</w:t>
            </w:r>
          </w:p>
        </w:tc>
        <w:tc>
          <w:tcPr>
            <w:tcW w:w="3488" w:type="pct"/>
            <w:vAlign w:val="center"/>
          </w:tcPr>
          <w:p>
            <w:pPr>
              <w:widowControl w:val="0"/>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▷指标，代表最关键指标，不满足该指标项将导致投标被否决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w:t>
            </w:r>
          </w:p>
        </w:tc>
        <w:tc>
          <w:tcPr>
            <w:tcW w:w="1053"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构成招标文件的其他资料</w:t>
            </w:r>
          </w:p>
        </w:tc>
        <w:tc>
          <w:tcPr>
            <w:tcW w:w="3488" w:type="pct"/>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2.2.1</w:t>
            </w:r>
          </w:p>
        </w:tc>
        <w:tc>
          <w:tcPr>
            <w:tcW w:w="1053"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投标人要求澄清招标文件</w:t>
            </w:r>
          </w:p>
        </w:tc>
        <w:tc>
          <w:tcPr>
            <w:tcW w:w="3488" w:type="pct"/>
            <w:vAlign w:val="center"/>
          </w:tcPr>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同投标人须知前附表1.10.2项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2.2.2</w:t>
            </w:r>
          </w:p>
        </w:tc>
        <w:tc>
          <w:tcPr>
            <w:tcW w:w="1053"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招标文件澄清发出的形式</w:t>
            </w:r>
          </w:p>
        </w:tc>
        <w:tc>
          <w:tcPr>
            <w:tcW w:w="3488" w:type="pct"/>
            <w:vAlign w:val="center"/>
          </w:tcPr>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2.2.3</w:t>
            </w:r>
          </w:p>
        </w:tc>
        <w:tc>
          <w:tcPr>
            <w:tcW w:w="1053" w:type="pct"/>
            <w:vAlign w:val="center"/>
          </w:tcPr>
          <w:p>
            <w:pPr>
              <w:widowControl w:val="0"/>
              <w:spacing w:line="360" w:lineRule="auto"/>
              <w:jc w:val="center"/>
              <w:rPr>
                <w:rFonts w:hint="eastAsia" w:ascii="宋体" w:hAnsi="宋体" w:eastAsia="宋体" w:cs="宋体"/>
                <w:color w:val="auto"/>
                <w:w w:val="99"/>
                <w:szCs w:val="21"/>
                <w:highlight w:val="none"/>
              </w:rPr>
            </w:pPr>
            <w:r>
              <w:rPr>
                <w:rFonts w:hint="eastAsia" w:ascii="宋体" w:hAnsi="宋体" w:eastAsia="宋体" w:cs="宋体"/>
                <w:color w:val="auto"/>
                <w:szCs w:val="21"/>
                <w:highlight w:val="none"/>
              </w:rPr>
              <w:t>投标人确认收到招标文件澄清</w:t>
            </w:r>
          </w:p>
        </w:tc>
        <w:tc>
          <w:tcPr>
            <w:tcW w:w="3488" w:type="pct"/>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时间：在收到相应澄清文件后</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小时内</w:t>
            </w:r>
          </w:p>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2.3.1</w:t>
            </w:r>
          </w:p>
        </w:tc>
        <w:tc>
          <w:tcPr>
            <w:tcW w:w="1053"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招标文件修改发出的形式</w:t>
            </w:r>
          </w:p>
        </w:tc>
        <w:tc>
          <w:tcPr>
            <w:tcW w:w="3488" w:type="pct"/>
            <w:vAlign w:val="center"/>
          </w:tcPr>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2.3.2</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投标人确认收到招标文件修改</w:t>
            </w:r>
          </w:p>
        </w:tc>
        <w:tc>
          <w:tcPr>
            <w:tcW w:w="3488" w:type="pct"/>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时间：在收到相应修改文件后</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小时内</w:t>
            </w:r>
          </w:p>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3.1.1</w:t>
            </w:r>
          </w:p>
        </w:tc>
        <w:tc>
          <w:tcPr>
            <w:tcW w:w="1053" w:type="pct"/>
            <w:vAlign w:val="center"/>
          </w:tcPr>
          <w:p>
            <w:pPr>
              <w:widowControl w:val="0"/>
              <w:adjustRightInd w:val="0"/>
              <w:snapToGrid w:val="0"/>
              <w:spacing w:before="36" w:beforeLines="15"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构成投标文件的其他材料</w:t>
            </w:r>
          </w:p>
        </w:tc>
        <w:tc>
          <w:tcPr>
            <w:tcW w:w="3488" w:type="pct"/>
            <w:vAlign w:val="center"/>
          </w:tcPr>
          <w:p>
            <w:pPr>
              <w:widowControl w:val="0"/>
              <w:adjustRightInd w:val="0"/>
              <w:snapToGrid w:val="0"/>
              <w:spacing w:before="36" w:beforeLines="15"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3.2.4</w:t>
            </w:r>
          </w:p>
        </w:tc>
        <w:tc>
          <w:tcPr>
            <w:tcW w:w="1053"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采购预算</w:t>
            </w:r>
          </w:p>
        </w:tc>
        <w:tc>
          <w:tcPr>
            <w:tcW w:w="3488" w:type="pct"/>
            <w:vAlign w:val="center"/>
          </w:tcPr>
          <w:p>
            <w:pPr>
              <w:widowControl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61.954</w:t>
            </w:r>
            <w:r>
              <w:rPr>
                <w:rFonts w:hint="eastAsia" w:ascii="宋体" w:hAnsi="宋体" w:eastAsia="宋体" w:cs="宋体"/>
                <w:color w:val="auto"/>
                <w:szCs w:val="21"/>
                <w:highlight w:val="none"/>
                <w:lang w:eastAsia="zh-CN"/>
              </w:rPr>
              <w:t>万美元</w:t>
            </w:r>
            <w:r>
              <w:rPr>
                <w:rFonts w:hint="eastAsia" w:ascii="宋体" w:hAnsi="宋体" w:eastAsia="宋体" w:cs="宋体"/>
                <w:color w:val="auto"/>
                <w:szCs w:val="21"/>
                <w:highlight w:val="none"/>
              </w:rPr>
              <w:t>（人民币限额</w:t>
            </w:r>
            <w:r>
              <w:rPr>
                <w:rFonts w:hint="eastAsia" w:ascii="宋体" w:hAnsi="宋体" w:eastAsia="宋体" w:cs="宋体"/>
                <w:color w:val="auto"/>
                <w:szCs w:val="21"/>
                <w:highlight w:val="none"/>
                <w:lang w:eastAsia="zh-CN"/>
              </w:rPr>
              <w:t>445万元</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restar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3.2.5</w:t>
            </w:r>
          </w:p>
        </w:tc>
        <w:tc>
          <w:tcPr>
            <w:tcW w:w="1053" w:type="pct"/>
            <w:vMerge w:val="restart"/>
            <w:vAlign w:val="center"/>
          </w:tcPr>
          <w:p>
            <w:pPr>
              <w:widowControl w:val="0"/>
              <w:spacing w:line="360" w:lineRule="auto"/>
              <w:jc w:val="center"/>
              <w:rPr>
                <w:rFonts w:hint="eastAsia" w:ascii="宋体" w:hAnsi="宋体" w:eastAsia="宋体" w:cs="宋体"/>
                <w:color w:val="auto"/>
                <w:w w:val="99"/>
                <w:szCs w:val="21"/>
                <w:highlight w:val="none"/>
              </w:rPr>
            </w:pPr>
            <w:r>
              <w:rPr>
                <w:rFonts w:hint="eastAsia" w:ascii="宋体" w:hAnsi="宋体" w:eastAsia="宋体" w:cs="宋体"/>
                <w:color w:val="auto"/>
                <w:szCs w:val="21"/>
                <w:highlight w:val="none"/>
              </w:rPr>
              <w:t>投标报价的其他要求</w:t>
            </w:r>
          </w:p>
        </w:tc>
        <w:tc>
          <w:tcPr>
            <w:tcW w:w="3488" w:type="pct"/>
            <w:vAlign w:val="center"/>
          </w:tcPr>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highlight w:val="none"/>
              </w:rPr>
              <w:t>报价唯一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vAlign w:val="center"/>
          </w:tcPr>
          <w:p>
            <w:pPr>
              <w:widowControl w:val="0"/>
              <w:spacing w:line="360" w:lineRule="auto"/>
              <w:jc w:val="center"/>
              <w:rPr>
                <w:rFonts w:hint="eastAsia" w:ascii="宋体" w:hAnsi="宋体" w:eastAsia="宋体" w:cs="宋体"/>
                <w:bCs/>
                <w:color w:val="auto"/>
                <w:szCs w:val="21"/>
                <w:highlight w:val="none"/>
              </w:rPr>
            </w:pPr>
          </w:p>
        </w:tc>
        <w:tc>
          <w:tcPr>
            <w:tcW w:w="1053" w:type="pct"/>
            <w:vMerge w:val="continue"/>
            <w:vAlign w:val="center"/>
          </w:tcPr>
          <w:p>
            <w:pPr>
              <w:widowControl w:val="0"/>
              <w:spacing w:line="360" w:lineRule="auto"/>
              <w:jc w:val="center"/>
              <w:rPr>
                <w:rFonts w:hint="eastAsia" w:ascii="宋体" w:hAnsi="宋体" w:eastAsia="宋体" w:cs="宋体"/>
                <w:color w:val="auto"/>
                <w:szCs w:val="21"/>
                <w:highlight w:val="none"/>
              </w:rPr>
            </w:pPr>
          </w:p>
        </w:tc>
        <w:tc>
          <w:tcPr>
            <w:tcW w:w="3488" w:type="pct"/>
            <w:vAlign w:val="center"/>
          </w:tcPr>
          <w:p>
            <w:pPr>
              <w:widowControl w:val="0"/>
              <w:adjustRightInd w:val="0"/>
              <w:snapToGrid w:val="0"/>
              <w:spacing w:before="60" w:beforeLines="25"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报价说明：</w:t>
            </w:r>
          </w:p>
          <w:p>
            <w:pPr>
              <w:widowControl w:val="0"/>
              <w:adjustRightInd w:val="0"/>
              <w:snapToGrid w:val="0"/>
              <w:spacing w:before="60" w:beforeLines="25"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从中华人民共和国境外提供的货物：CIP到岸价（长春机场）。</w:t>
            </w:r>
          </w:p>
          <w:p>
            <w:pPr>
              <w:widowControl w:val="0"/>
              <w:adjustRightInd w:val="0"/>
              <w:snapToGrid w:val="0"/>
              <w:spacing w:before="60" w:beforeLines="25"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相关费用说明：需是到采购人指定地点之前的所有费用。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vAlign w:val="center"/>
          </w:tcPr>
          <w:p>
            <w:pPr>
              <w:widowControl w:val="0"/>
              <w:spacing w:line="360" w:lineRule="auto"/>
              <w:jc w:val="center"/>
              <w:rPr>
                <w:rFonts w:hint="eastAsia" w:ascii="宋体" w:hAnsi="宋体" w:eastAsia="宋体" w:cs="宋体"/>
                <w:bCs/>
                <w:color w:val="auto"/>
                <w:szCs w:val="21"/>
                <w:highlight w:val="none"/>
              </w:rPr>
            </w:pPr>
          </w:p>
        </w:tc>
        <w:tc>
          <w:tcPr>
            <w:tcW w:w="1053" w:type="pct"/>
            <w:vMerge w:val="continue"/>
            <w:vAlign w:val="center"/>
          </w:tcPr>
          <w:p>
            <w:pPr>
              <w:widowControl w:val="0"/>
              <w:spacing w:line="360" w:lineRule="auto"/>
              <w:jc w:val="center"/>
              <w:rPr>
                <w:rFonts w:hint="eastAsia" w:ascii="宋体" w:hAnsi="宋体" w:eastAsia="宋体" w:cs="宋体"/>
                <w:color w:val="auto"/>
                <w:szCs w:val="21"/>
                <w:highlight w:val="none"/>
              </w:rPr>
            </w:pPr>
          </w:p>
        </w:tc>
        <w:tc>
          <w:tcPr>
            <w:tcW w:w="3488" w:type="pct"/>
            <w:vAlign w:val="center"/>
          </w:tcPr>
          <w:p>
            <w:pPr>
              <w:widowControl w:val="0"/>
              <w:adjustRightInd w:val="0"/>
              <w:snapToGrid w:val="0"/>
              <w:spacing w:before="60" w:beforeLines="25"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货币要求：</w:t>
            </w:r>
          </w:p>
          <w:p>
            <w:pPr>
              <w:widowControl w:val="0"/>
              <w:adjustRightInd w:val="0"/>
              <w:snapToGrid w:val="0"/>
              <w:spacing w:before="60" w:beforeLines="25"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投标人从中华人民共和国境外提供的货物和服务用美元报价（不得超出人民币</w:t>
            </w:r>
            <w:r>
              <w:rPr>
                <w:rFonts w:hint="eastAsia" w:ascii="宋体" w:hAnsi="宋体" w:eastAsia="宋体" w:cs="宋体"/>
                <w:color w:val="auto"/>
                <w:szCs w:val="21"/>
                <w:highlight w:val="none"/>
              </w:rPr>
              <w:t>限额</w:t>
            </w:r>
            <w:r>
              <w:rPr>
                <w:rFonts w:hint="eastAsia" w:ascii="宋体" w:hAnsi="宋体" w:eastAsia="宋体" w:cs="宋体"/>
                <w:bCs/>
                <w:color w:val="auto"/>
                <w:szCs w:val="21"/>
                <w:highlight w:val="none"/>
              </w:rPr>
              <w:t>）。</w:t>
            </w:r>
          </w:p>
          <w:p>
            <w:pPr>
              <w:widowControl w:val="0"/>
              <w:adjustRightInd w:val="0"/>
              <w:snapToGrid w:val="0"/>
              <w:spacing w:before="60" w:beforeLines="25"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注：不接受任何有关汇率变化的声明。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vAlign w:val="center"/>
          </w:tcPr>
          <w:p>
            <w:pPr>
              <w:widowControl w:val="0"/>
              <w:spacing w:line="360" w:lineRule="auto"/>
              <w:jc w:val="center"/>
              <w:rPr>
                <w:rFonts w:hint="eastAsia" w:ascii="宋体" w:hAnsi="宋体" w:eastAsia="宋体" w:cs="宋体"/>
                <w:bCs/>
                <w:color w:val="auto"/>
                <w:szCs w:val="21"/>
                <w:highlight w:val="none"/>
              </w:rPr>
            </w:pPr>
          </w:p>
        </w:tc>
        <w:tc>
          <w:tcPr>
            <w:tcW w:w="1053" w:type="pct"/>
            <w:vMerge w:val="continue"/>
            <w:vAlign w:val="center"/>
          </w:tcPr>
          <w:p>
            <w:pPr>
              <w:widowControl w:val="0"/>
              <w:spacing w:line="360" w:lineRule="auto"/>
              <w:jc w:val="center"/>
              <w:rPr>
                <w:rFonts w:hint="eastAsia" w:ascii="宋体" w:hAnsi="宋体" w:eastAsia="宋体" w:cs="宋体"/>
                <w:color w:val="auto"/>
                <w:szCs w:val="21"/>
                <w:highlight w:val="none"/>
              </w:rPr>
            </w:pPr>
          </w:p>
        </w:tc>
        <w:tc>
          <w:tcPr>
            <w:tcW w:w="3488" w:type="pct"/>
            <w:vAlign w:val="center"/>
          </w:tcPr>
          <w:p>
            <w:pPr>
              <w:widowControl w:val="0"/>
              <w:adjustRightInd w:val="0"/>
              <w:snapToGrid w:val="0"/>
              <w:spacing w:before="60" w:beforeLines="25"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其他要求：</w:t>
            </w:r>
          </w:p>
          <w:p>
            <w:pPr>
              <w:widowControl w:val="0"/>
              <w:adjustRightInd w:val="0"/>
              <w:snapToGrid w:val="0"/>
              <w:spacing w:before="60" w:beforeLines="25"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（1）投标人需承担进口环节所需所有费用，包括货款、外贸代理费、汇率变化产生的费用等。</w:t>
            </w:r>
          </w:p>
          <w:p>
            <w:pPr>
              <w:pStyle w:val="2"/>
              <w:widowControl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（2）外贸付款结算中由于汇率上涨产生的额外费用，均应由投标人承担，包括中美贸易产生的附加关税；汇率下降产生的额外收入由采购人支配。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3.3.1</w:t>
            </w:r>
          </w:p>
        </w:tc>
        <w:tc>
          <w:tcPr>
            <w:tcW w:w="1053" w:type="pct"/>
            <w:vAlign w:val="center"/>
          </w:tcPr>
          <w:p>
            <w:pPr>
              <w:widowControl w:val="0"/>
              <w:spacing w:line="360" w:lineRule="auto"/>
              <w:jc w:val="center"/>
              <w:rPr>
                <w:rFonts w:hint="eastAsia" w:ascii="宋体" w:hAnsi="宋体" w:eastAsia="宋体" w:cs="宋体"/>
                <w:color w:val="auto"/>
                <w:w w:val="99"/>
                <w:szCs w:val="21"/>
                <w:highlight w:val="none"/>
              </w:rPr>
            </w:pPr>
            <w:r>
              <w:rPr>
                <w:rFonts w:hint="eastAsia" w:ascii="宋体" w:hAnsi="宋体" w:eastAsia="宋体" w:cs="宋体"/>
                <w:color w:val="auto"/>
                <w:szCs w:val="21"/>
                <w:highlight w:val="none"/>
              </w:rPr>
              <w:t>投标有效期</w:t>
            </w:r>
          </w:p>
        </w:tc>
        <w:tc>
          <w:tcPr>
            <w:tcW w:w="3488" w:type="pct"/>
            <w:vAlign w:val="center"/>
          </w:tcPr>
          <w:p>
            <w:pPr>
              <w:widowControl w:val="0"/>
              <w:tabs>
                <w:tab w:val="left" w:pos="1734"/>
              </w:tabs>
              <w:spacing w:before="120" w:beforeLines="50" w:line="360" w:lineRule="auto"/>
              <w:ind w:right="1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3.4.1</w:t>
            </w:r>
          </w:p>
        </w:tc>
        <w:tc>
          <w:tcPr>
            <w:tcW w:w="1053" w:type="pct"/>
            <w:vAlign w:val="center"/>
          </w:tcPr>
          <w:p>
            <w:pPr>
              <w:widowControl w:val="0"/>
              <w:spacing w:line="360" w:lineRule="auto"/>
              <w:jc w:val="center"/>
              <w:rPr>
                <w:rFonts w:hint="eastAsia" w:ascii="宋体" w:hAnsi="宋体" w:eastAsia="宋体" w:cs="宋体"/>
                <w:color w:val="auto"/>
                <w:w w:val="99"/>
                <w:szCs w:val="21"/>
                <w:highlight w:val="none"/>
              </w:rPr>
            </w:pPr>
            <w:r>
              <w:rPr>
                <w:rFonts w:hint="eastAsia" w:ascii="宋体" w:hAnsi="宋体" w:eastAsia="宋体" w:cs="宋体"/>
                <w:color w:val="auto"/>
                <w:szCs w:val="21"/>
                <w:highlight w:val="none"/>
              </w:rPr>
              <w:t>投标保证金</w:t>
            </w:r>
          </w:p>
        </w:tc>
        <w:tc>
          <w:tcPr>
            <w:tcW w:w="3488" w:type="pct"/>
          </w:tcPr>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投标保证金的形式：保证金应当以支票、汇票、本票或者金融机构、担保机构出具的保函等非现金形式提交。</w:t>
            </w:r>
          </w:p>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投标保证金的金额：捌万元人民币</w:t>
            </w:r>
          </w:p>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单位名称：吉林省晟裕工程咨询有限公司 </w:t>
            </w:r>
          </w:p>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中信银行开户行全称：中信银行长春分行营业部</w:t>
            </w:r>
          </w:p>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账号：8113601013600022027</w:t>
            </w:r>
          </w:p>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联行号：302241000021</w:t>
            </w:r>
          </w:p>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注：投标人提交投标保证金应当符合相关法律法规，并能够体现出用途、投标项目名称、投标人名称及联系方式以便核查。</w:t>
            </w:r>
          </w:p>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投标文件中附投标保证金缴纳凭证及基本账户开户许可证复印件。</w:t>
            </w:r>
          </w:p>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以支票、汇票、本票、保函形式递交的须将投标保证金相关缴纳凭证原件随投标文件一同单独递交，投标保证金缴纳凭证原件由代理机构统一留存，并在法定返还期限内另行返还投标人。</w:t>
            </w:r>
          </w:p>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投标人须对递交的投标保证金真实性、合法性负全责，并在投标文件中提供投标保证金真实、合法、有效的书面承诺。若发现投标人递交的投标保证金存在不真实或违法情况，其投标将被否决。</w:t>
            </w:r>
          </w:p>
          <w:p>
            <w:pPr>
              <w:widowControl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注：基本账户开户许可取消后新开立基本账户的投标人，可以按照中国人民银行的相关文件规定提交银行打印的《基本存款账户信息》。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3.4.4</w:t>
            </w:r>
          </w:p>
        </w:tc>
        <w:tc>
          <w:tcPr>
            <w:tcW w:w="1053" w:type="pct"/>
            <w:vAlign w:val="center"/>
          </w:tcPr>
          <w:p>
            <w:pPr>
              <w:widowControl w:val="0"/>
              <w:spacing w:line="360" w:lineRule="auto"/>
              <w:jc w:val="center"/>
              <w:rPr>
                <w:rFonts w:hint="eastAsia" w:ascii="宋体" w:hAnsi="宋体" w:eastAsia="宋体" w:cs="宋体"/>
                <w:color w:val="auto"/>
                <w:w w:val="99"/>
                <w:szCs w:val="21"/>
                <w:highlight w:val="none"/>
              </w:rPr>
            </w:pPr>
            <w:r>
              <w:rPr>
                <w:rFonts w:hint="eastAsia" w:ascii="宋体" w:hAnsi="宋体" w:eastAsia="宋体" w:cs="宋体"/>
                <w:color w:val="auto"/>
                <w:szCs w:val="21"/>
                <w:highlight w:val="none"/>
              </w:rPr>
              <w:t>其他可以不予退还投标保证金的情形</w:t>
            </w:r>
          </w:p>
        </w:tc>
        <w:tc>
          <w:tcPr>
            <w:tcW w:w="3488" w:type="pct"/>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资格审查资料的特殊要求</w:t>
            </w:r>
          </w:p>
        </w:tc>
        <w:tc>
          <w:tcPr>
            <w:tcW w:w="3488" w:type="pct"/>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评标办法中提到的其他证明材料</w:t>
            </w:r>
            <w:r>
              <w:rPr>
                <w:rFonts w:hint="eastAsia" w:ascii="宋体" w:hAnsi="宋体" w:eastAsia="宋体" w:cs="宋体"/>
                <w:color w:val="auto"/>
                <w:kern w:val="0"/>
                <w:szCs w:val="21"/>
                <w:highlight w:val="none"/>
              </w:rPr>
              <w:t>原件应装袋递交</w:t>
            </w:r>
            <w:r>
              <w:rPr>
                <w:rFonts w:hint="eastAsia" w:ascii="宋体" w:hAnsi="宋体" w:eastAsia="宋体" w:cs="宋体"/>
                <w:color w:val="auto"/>
                <w:szCs w:val="21"/>
                <w:highlight w:val="none"/>
              </w:rPr>
              <w:t>且投标文件内附同等材料并加盖公章</w:t>
            </w:r>
            <w:r>
              <w:rPr>
                <w:rFonts w:hint="eastAsia" w:ascii="宋体" w:hAnsi="宋体" w:eastAsia="宋体" w:cs="宋体"/>
                <w:color w:val="auto"/>
                <w:kern w:val="0"/>
                <w:szCs w:val="21"/>
                <w:highlight w:val="none"/>
              </w:rPr>
              <w:t>，并在封袋外面列明项目名称、文件名称及份数，投标单位的名称、地址、联系人及联系电话。（文件名称与装袋内容不一致时，后果由投标人自行负责）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3.5.2</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近三年财务状况的年份要求</w:t>
            </w:r>
          </w:p>
        </w:tc>
        <w:tc>
          <w:tcPr>
            <w:tcW w:w="3488" w:type="pct"/>
            <w:vAlign w:val="center"/>
          </w:tcPr>
          <w:p>
            <w:pPr>
              <w:widowControl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2019年、2020年、2021年（成立年限不足三年的提供成立之日起到2021年度的审计报告即可；2021年成立至2022年1月1日不足1年或2022年成立的公司提供加盖公章的财务报表即可）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3.5.3</w:t>
            </w:r>
          </w:p>
        </w:tc>
        <w:tc>
          <w:tcPr>
            <w:tcW w:w="1053" w:type="pct"/>
            <w:vAlign w:val="center"/>
          </w:tcPr>
          <w:p>
            <w:pPr>
              <w:widowControl w:val="0"/>
              <w:spacing w:line="360" w:lineRule="auto"/>
              <w:jc w:val="center"/>
              <w:rPr>
                <w:rFonts w:hint="eastAsia" w:ascii="宋体" w:hAnsi="宋体" w:eastAsia="宋体" w:cs="宋体"/>
                <w:color w:val="auto"/>
                <w:w w:val="99"/>
                <w:szCs w:val="21"/>
                <w:highlight w:val="none"/>
              </w:rPr>
            </w:pPr>
            <w:r>
              <w:rPr>
                <w:rFonts w:hint="eastAsia" w:ascii="宋体" w:hAnsi="宋体" w:eastAsia="宋体" w:cs="宋体"/>
                <w:color w:val="auto"/>
                <w:szCs w:val="21"/>
                <w:highlight w:val="none"/>
              </w:rPr>
              <w:t>近年完成的类似项目情况的时间要求</w:t>
            </w:r>
          </w:p>
        </w:tc>
        <w:tc>
          <w:tcPr>
            <w:tcW w:w="3488" w:type="pct"/>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2019</w:t>
            </w:r>
            <w:r>
              <w:rPr>
                <w:rFonts w:hint="eastAsia" w:ascii="宋体" w:hAnsi="宋体" w:cs="宋体"/>
                <w:color w:val="auto"/>
                <w:szCs w:val="21"/>
                <w:highlight w:val="none"/>
                <w:lang w:val="en-US" w:eastAsia="zh-CN"/>
              </w:rPr>
              <w:t>年</w:t>
            </w:r>
            <w:r>
              <w:rPr>
                <w:rFonts w:hint="eastAsia" w:ascii="宋体" w:hAnsi="宋体" w:eastAsia="宋体" w:cs="宋体"/>
                <w:color w:val="auto"/>
                <w:szCs w:val="21"/>
                <w:highlight w:val="none"/>
                <w:lang w:val="en-US" w:eastAsia="zh-CN"/>
              </w:rPr>
              <w:t>1月1日</w:t>
            </w:r>
            <w:r>
              <w:rPr>
                <w:rFonts w:hint="eastAsia" w:ascii="宋体" w:hAnsi="宋体" w:eastAsia="宋体" w:cs="宋体"/>
                <w:color w:val="auto"/>
                <w:szCs w:val="21"/>
                <w:highlight w:val="none"/>
              </w:rPr>
              <w:t>至递交投标文件截止之日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3.6.1</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3488" w:type="pct"/>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3.7.3（2）</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投标文件份数及其他要求</w:t>
            </w:r>
          </w:p>
        </w:tc>
        <w:tc>
          <w:tcPr>
            <w:tcW w:w="3488" w:type="pct"/>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正本一份，副本六份，同时提供2份电子文件（每份U盘包含</w:t>
            </w:r>
            <w:r>
              <w:rPr>
                <w:rFonts w:hint="eastAsia" w:ascii="宋体" w:hAnsi="宋体" w:eastAsia="宋体" w:cs="宋体"/>
                <w:bCs/>
                <w:color w:val="auto"/>
                <w:kern w:val="15"/>
                <w:szCs w:val="21"/>
                <w:highlight w:val="none"/>
              </w:rPr>
              <w:t>PDF及word两种格式，PDF格式包含所有投标文件文件签字及盖章内容</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分别</w:t>
            </w:r>
            <w:r>
              <w:rPr>
                <w:rFonts w:hint="eastAsia" w:ascii="宋体" w:hAnsi="宋体" w:eastAsia="宋体" w:cs="宋体"/>
                <w:color w:val="auto"/>
                <w:szCs w:val="21"/>
                <w:highlight w:val="none"/>
              </w:rPr>
              <w:t>单独密封），电子文件与文本文件不一致时，以文本文件为准。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3.7.3（3）</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投标文件是否需分册装订</w:t>
            </w:r>
          </w:p>
        </w:tc>
        <w:tc>
          <w:tcPr>
            <w:tcW w:w="3488" w:type="pct"/>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投标文件的正本与副本应分别胶装成册。</w:t>
            </w:r>
          </w:p>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投标文件的装订要求：左侧纵向胶装，胶装成不可拆分的书册形式。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4.1.2</w:t>
            </w:r>
          </w:p>
        </w:tc>
        <w:tc>
          <w:tcPr>
            <w:tcW w:w="1053" w:type="pct"/>
            <w:vAlign w:val="center"/>
          </w:tcPr>
          <w:p>
            <w:pPr>
              <w:widowControl w:val="0"/>
              <w:spacing w:line="360" w:lineRule="auto"/>
              <w:jc w:val="center"/>
              <w:rPr>
                <w:rFonts w:hint="eastAsia" w:ascii="宋体" w:hAnsi="宋体" w:eastAsia="宋体" w:cs="宋体"/>
                <w:color w:val="auto"/>
                <w:w w:val="99"/>
                <w:szCs w:val="21"/>
                <w:highlight w:val="none"/>
              </w:rPr>
            </w:pPr>
            <w:r>
              <w:rPr>
                <w:rFonts w:hint="eastAsia" w:ascii="宋体" w:hAnsi="宋体" w:eastAsia="宋体" w:cs="宋体"/>
                <w:color w:val="auto"/>
                <w:szCs w:val="21"/>
                <w:highlight w:val="none"/>
              </w:rPr>
              <w:t>封套上应载明的信息</w:t>
            </w:r>
          </w:p>
        </w:tc>
        <w:tc>
          <w:tcPr>
            <w:tcW w:w="3488" w:type="pct"/>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投标人地址：</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招标项目</w:t>
            </w:r>
          </w:p>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招标项目编号：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在年</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4.2.1</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3488" w:type="pct"/>
            <w:vAlign w:val="center"/>
          </w:tcPr>
          <w:p>
            <w:pPr>
              <w:widowControl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2022年12月19日10时30分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4.2.2</w:t>
            </w:r>
          </w:p>
        </w:tc>
        <w:tc>
          <w:tcPr>
            <w:tcW w:w="1053" w:type="pct"/>
            <w:vAlign w:val="center"/>
          </w:tcPr>
          <w:p>
            <w:pPr>
              <w:widowControl w:val="0"/>
              <w:spacing w:line="360" w:lineRule="auto"/>
              <w:jc w:val="center"/>
              <w:rPr>
                <w:rFonts w:hint="eastAsia" w:ascii="宋体" w:hAnsi="宋体" w:eastAsia="宋体" w:cs="宋体"/>
                <w:color w:val="auto"/>
                <w:w w:val="99"/>
                <w:szCs w:val="21"/>
                <w:highlight w:val="none"/>
              </w:rPr>
            </w:pPr>
            <w:r>
              <w:rPr>
                <w:rFonts w:hint="eastAsia" w:ascii="宋体" w:hAnsi="宋体" w:eastAsia="宋体" w:cs="宋体"/>
                <w:color w:val="auto"/>
                <w:szCs w:val="21"/>
                <w:highlight w:val="none"/>
              </w:rPr>
              <w:t>递交投标文件地点</w:t>
            </w:r>
          </w:p>
        </w:tc>
        <w:tc>
          <w:tcPr>
            <w:tcW w:w="3488" w:type="pct"/>
            <w:vAlign w:val="center"/>
          </w:tcPr>
          <w:p>
            <w:pPr>
              <w:widowControl w:val="0"/>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点：吉林省晟裕工程咨询有限公司二楼会议室（长春市春城大街789号）</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收件人：吉林省晟裕工程咨询有限公司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4.2.3</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投标文件是否退还</w:t>
            </w:r>
          </w:p>
        </w:tc>
        <w:tc>
          <w:tcPr>
            <w:tcW w:w="3488" w:type="pct"/>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5.1</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3488" w:type="pct"/>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开标时间：同投标截止时间</w:t>
            </w:r>
          </w:p>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5.2（4）</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88" w:type="pct"/>
            <w:vAlign w:val="center"/>
          </w:tcPr>
          <w:p>
            <w:pPr>
              <w:widowControl w:val="0"/>
              <w:spacing w:line="360" w:lineRule="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密封情况检查：由投标人同时检查投标文件密封情况；</w:t>
            </w:r>
          </w:p>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开标顺序：按获取招标文件顺序。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6.1.1</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3488" w:type="pct"/>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评标委员会构成：1名经济类专家、3名技术类专家和1名采购人代表。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7.1</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中标结果公告媒介</w:t>
            </w:r>
          </w:p>
        </w:tc>
        <w:tc>
          <w:tcPr>
            <w:tcW w:w="3488" w:type="pct"/>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中国政府采购网、东北师范大学政府采购与招标管理中心网站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3488" w:type="pct"/>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否，推荐三名中标候选人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58" w:type="pct"/>
            <w:vAlign w:val="center"/>
          </w:tcPr>
          <w:p>
            <w:pPr>
              <w:widowControl w:val="0"/>
              <w:spacing w:line="360" w:lineRule="auto"/>
              <w:jc w:val="center"/>
              <w:rPr>
                <w:rFonts w:hint="eastAsia" w:ascii="宋体" w:hAnsi="宋体" w:eastAsia="宋体" w:cs="宋体"/>
                <w:color w:val="auto"/>
                <w:w w:val="94"/>
                <w:szCs w:val="21"/>
                <w:highlight w:val="none"/>
              </w:rPr>
            </w:pPr>
            <w:r>
              <w:rPr>
                <w:rFonts w:hint="eastAsia" w:ascii="宋体" w:hAnsi="宋体" w:eastAsia="宋体" w:cs="宋体"/>
                <w:color w:val="auto"/>
                <w:szCs w:val="21"/>
                <w:highlight w:val="none"/>
              </w:rPr>
              <w:t>10</w:t>
            </w:r>
          </w:p>
        </w:tc>
        <w:tc>
          <w:tcPr>
            <w:tcW w:w="4541" w:type="pct"/>
            <w:gridSpan w:val="2"/>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vAlign w:val="center"/>
          </w:tcPr>
          <w:p>
            <w:pPr>
              <w:widowControl w:val="0"/>
              <w:adjustRightInd w:val="0"/>
              <w:snapToGrid w:val="0"/>
              <w:spacing w:before="36" w:beforeLines="15"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p>
        </w:tc>
        <w:tc>
          <w:tcPr>
            <w:tcW w:w="1053" w:type="pct"/>
            <w:vAlign w:val="center"/>
          </w:tcPr>
          <w:p>
            <w:pPr>
              <w:widowControl w:val="0"/>
              <w:adjustRightInd w:val="0"/>
              <w:snapToGrid w:val="0"/>
              <w:spacing w:before="36" w:beforeLines="15"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3488" w:type="pct"/>
            <w:vAlign w:val="center"/>
          </w:tcPr>
          <w:p>
            <w:pPr>
              <w:widowControl w:val="0"/>
              <w:adjustRightInd w:val="0"/>
              <w:snapToGrid w:val="0"/>
              <w:spacing w:before="36" w:beforeLines="15"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8" w:type="pct"/>
            <w:vAlign w:val="center"/>
          </w:tcPr>
          <w:p>
            <w:pPr>
              <w:widowControl w:val="0"/>
              <w:adjustRightInd w:val="0"/>
              <w:snapToGrid w:val="0"/>
              <w:spacing w:before="36" w:beforeLines="15"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p>
        </w:tc>
        <w:tc>
          <w:tcPr>
            <w:tcW w:w="3488" w:type="pct"/>
            <w:vAlign w:val="center"/>
          </w:tcPr>
          <w:p>
            <w:pPr>
              <w:widowControl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生产厂家至少1年质保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8" w:type="pct"/>
            <w:vAlign w:val="center"/>
          </w:tcPr>
          <w:p>
            <w:pPr>
              <w:widowControl w:val="0"/>
              <w:adjustRightInd w:val="0"/>
              <w:snapToGrid w:val="0"/>
              <w:spacing w:before="36" w:beforeLines="15"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w:t>
            </w:r>
          </w:p>
        </w:tc>
        <w:tc>
          <w:tcPr>
            <w:tcW w:w="1053" w:type="pct"/>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运输方式</w:t>
            </w:r>
          </w:p>
        </w:tc>
        <w:tc>
          <w:tcPr>
            <w:tcW w:w="3488" w:type="pct"/>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空运。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58" w:type="pct"/>
            <w:vAlign w:val="center"/>
          </w:tcPr>
          <w:p>
            <w:pPr>
              <w:widowControl w:val="0"/>
              <w:adjustRightInd w:val="0"/>
              <w:snapToGrid w:val="0"/>
              <w:spacing w:before="36" w:beforeLines="15"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p>
        </w:tc>
        <w:tc>
          <w:tcPr>
            <w:tcW w:w="1053" w:type="pct"/>
            <w:shd w:val="clear" w:color="auto" w:fill="auto"/>
            <w:vAlign w:val="center"/>
          </w:tcPr>
          <w:p>
            <w:pPr>
              <w:widowControl w:val="0"/>
              <w:adjustRightInd w:val="0"/>
              <w:snapToGrid w:val="0"/>
              <w:spacing w:before="60" w:beforeLines="25"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付款方式</w:t>
            </w:r>
          </w:p>
        </w:tc>
        <w:tc>
          <w:tcPr>
            <w:tcW w:w="3488" w:type="pct"/>
            <w:shd w:val="clear" w:color="auto" w:fill="auto"/>
            <w:vAlign w:val="center"/>
          </w:tcPr>
          <w:p>
            <w:pPr>
              <w:widowControl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100%L/C(信用证)（90%凭借运输单据见单预付，10%凭借最终验收报告，验收合格后解付）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 w:type="pct"/>
            <w:vAlign w:val="center"/>
          </w:tcPr>
          <w:p>
            <w:pPr>
              <w:widowControl w:val="0"/>
              <w:adjustRightInd w:val="0"/>
              <w:snapToGrid w:val="0"/>
              <w:spacing w:before="36" w:beforeLines="1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10.</w:t>
            </w:r>
            <w:r>
              <w:rPr>
                <w:rFonts w:hint="eastAsia" w:ascii="宋体" w:hAnsi="宋体" w:cs="宋体"/>
                <w:color w:val="auto"/>
                <w:szCs w:val="21"/>
                <w:highlight w:val="none"/>
                <w:lang w:val="en-US" w:eastAsia="zh-CN"/>
              </w:rPr>
              <w:t>5</w:t>
            </w:r>
          </w:p>
        </w:tc>
        <w:tc>
          <w:tcPr>
            <w:tcW w:w="1053" w:type="pct"/>
            <w:vAlign w:val="center"/>
          </w:tcPr>
          <w:p>
            <w:pPr>
              <w:widowControl w:val="0"/>
              <w:adjustRightInd w:val="0"/>
              <w:snapToGrid w:val="0"/>
              <w:spacing w:before="36" w:beforeLines="15" w:line="36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招标代理服务费</w:t>
            </w:r>
          </w:p>
        </w:tc>
        <w:tc>
          <w:tcPr>
            <w:tcW w:w="3488" w:type="pct"/>
            <w:vAlign w:val="center"/>
          </w:tcPr>
          <w:p>
            <w:pPr>
              <w:widowControl w:val="0"/>
              <w:adjustRightInd w:val="0"/>
              <w:snapToGrid w:val="0"/>
              <w:spacing w:before="60" w:beforeLines="25" w:line="360" w:lineRule="auto"/>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参照国家发展计划委员会文件（计价格【2002】1980号）及国家发展改革委办公厅关于招标代理服务收费有关问题的通知（发改办价格【2003】857号）的取费标准按</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0%向中标人收取。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widowControl w:val="0"/>
              <w:adjustRightInd w:val="0"/>
              <w:snapToGrid w:val="0"/>
              <w:spacing w:before="36" w:beforeLines="1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10.</w:t>
            </w:r>
            <w:r>
              <w:rPr>
                <w:rFonts w:hint="eastAsia" w:ascii="宋体" w:hAnsi="宋体" w:cs="宋体"/>
                <w:color w:val="auto"/>
                <w:szCs w:val="21"/>
                <w:highlight w:val="none"/>
                <w:lang w:val="en-US" w:eastAsia="zh-CN"/>
              </w:rPr>
              <w:t>6</w:t>
            </w:r>
          </w:p>
        </w:tc>
        <w:tc>
          <w:tcPr>
            <w:tcW w:w="1053" w:type="pct"/>
            <w:vAlign w:val="center"/>
          </w:tcPr>
          <w:p>
            <w:pPr>
              <w:widowControl w:val="0"/>
              <w:adjustRightInd w:val="0"/>
              <w:snapToGrid w:val="0"/>
              <w:spacing w:before="36" w:beforeLines="15"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招标文件质疑条款</w:t>
            </w:r>
          </w:p>
        </w:tc>
        <w:tc>
          <w:tcPr>
            <w:tcW w:w="3488" w:type="pct"/>
            <w:vAlign w:val="center"/>
          </w:tcPr>
          <w:p>
            <w:pPr>
              <w:widowControl w:val="0"/>
              <w:adjustRightInd w:val="0"/>
              <w:snapToGrid w:val="0"/>
              <w:spacing w:before="60" w:beforeLines="25"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投标人认为招标文件、采购过程、中标结果使自己的权益受到损害的，可以在知道或者应知其权益受到损害之日起7个工作日内，以书面形式向采购人、采购代理机构提出质疑。</w:t>
            </w:r>
          </w:p>
          <w:p>
            <w:pPr>
              <w:widowControl w:val="0"/>
              <w:adjustRightInd w:val="0"/>
              <w:snapToGrid w:val="0"/>
              <w:spacing w:before="60" w:beforeLines="25"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潜在投标人已依法获取其可质疑的招标文件的，可以对该文件提出质疑。对招标文件提出质疑的，应当在获取招标文件或者招标文件公告期限届满之日起7个工作日内提出。</w:t>
            </w:r>
          </w:p>
          <w:p>
            <w:pPr>
              <w:widowControl w:val="0"/>
              <w:adjustRightInd w:val="0"/>
              <w:snapToGrid w:val="0"/>
              <w:spacing w:before="60" w:beforeLines="25"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58" w:type="pct"/>
            <w:vAlign w:val="center"/>
          </w:tcPr>
          <w:p>
            <w:pPr>
              <w:widowControl w:val="0"/>
              <w:adjustRightInd w:val="0"/>
              <w:snapToGrid w:val="0"/>
              <w:spacing w:before="36" w:beforeLines="1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10.</w:t>
            </w:r>
            <w:r>
              <w:rPr>
                <w:rFonts w:hint="eastAsia" w:ascii="宋体" w:hAnsi="宋体" w:cs="宋体"/>
                <w:color w:val="auto"/>
                <w:szCs w:val="21"/>
                <w:highlight w:val="none"/>
                <w:lang w:val="en-US" w:eastAsia="zh-CN"/>
              </w:rPr>
              <w:t>7</w:t>
            </w:r>
          </w:p>
        </w:tc>
        <w:tc>
          <w:tcPr>
            <w:tcW w:w="1053" w:type="pct"/>
            <w:vAlign w:val="center"/>
          </w:tcPr>
          <w:p>
            <w:pPr>
              <w:widowControl w:val="0"/>
              <w:adjustRightInd w:val="0"/>
              <w:snapToGrid w:val="0"/>
              <w:spacing w:before="36" w:beforeLines="15"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验收标准</w:t>
            </w:r>
          </w:p>
        </w:tc>
        <w:tc>
          <w:tcPr>
            <w:tcW w:w="3488" w:type="pct"/>
            <w:vAlign w:val="center"/>
          </w:tcPr>
          <w:p>
            <w:pPr>
              <w:widowControl w:val="0"/>
              <w:adjustRightInd w:val="0"/>
              <w:snapToGrid w:val="0"/>
              <w:spacing w:before="60" w:beforeLines="25"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验收主体：东北师范大学；</w:t>
            </w:r>
          </w:p>
          <w:p>
            <w:pPr>
              <w:widowControl w:val="0"/>
              <w:adjustRightInd w:val="0"/>
              <w:snapToGrid w:val="0"/>
              <w:spacing w:before="60" w:beforeLines="25"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验收时间：交付后2-3月内；</w:t>
            </w:r>
          </w:p>
          <w:p>
            <w:pPr>
              <w:widowControl w:val="0"/>
              <w:adjustRightInd w:val="0"/>
              <w:snapToGrid w:val="0"/>
              <w:spacing w:before="60" w:beforeLines="25"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验收方式：现场验收；</w:t>
            </w:r>
          </w:p>
          <w:p>
            <w:pPr>
              <w:widowControl w:val="0"/>
              <w:adjustRightInd w:val="0"/>
              <w:snapToGrid w:val="0"/>
              <w:spacing w:before="60" w:beforeLines="25"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验收程序：履约验收，遵循学校验收程序；验收内容：到货时间、货物规格、型号、数量、产地、全新产品（外观与出厂日期等）；货物合格证、说明书、保修卡、操作手册等资料；合同规定的附件、备品、备件、维修工具等；安装人员符合要求等；</w:t>
            </w:r>
          </w:p>
          <w:p>
            <w:pPr>
              <w:widowControl w:val="0"/>
              <w:adjustRightInd w:val="0"/>
              <w:snapToGrid w:val="0"/>
              <w:spacing w:before="60" w:beforeLines="25"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验收标准：货物规格、型号、数量、产地、全新产品（外观与出厂日期等）与合同约定相一致；货物合格证、说明书、保修卡、操作手册等资料齐全并符合要求；合同规定的附件、备品、备件、维修工具等齐全；安装人员符合要求，有现场负责人，为厂家派出或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58" w:type="pct"/>
            <w:vAlign w:val="center"/>
          </w:tcPr>
          <w:p>
            <w:pPr>
              <w:widowControl w:val="0"/>
              <w:adjustRightInd w:val="0"/>
              <w:snapToGrid w:val="0"/>
              <w:spacing w:before="36" w:beforeLines="1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10.</w:t>
            </w:r>
            <w:r>
              <w:rPr>
                <w:rFonts w:hint="eastAsia" w:ascii="宋体" w:hAnsi="宋体" w:cs="宋体"/>
                <w:color w:val="auto"/>
                <w:szCs w:val="21"/>
                <w:highlight w:val="none"/>
                <w:lang w:val="en-US" w:eastAsia="zh-CN"/>
              </w:rPr>
              <w:t>8</w:t>
            </w:r>
          </w:p>
        </w:tc>
        <w:tc>
          <w:tcPr>
            <w:tcW w:w="1053" w:type="pct"/>
            <w:vAlign w:val="center"/>
          </w:tcPr>
          <w:p>
            <w:pPr>
              <w:widowControl w:val="0"/>
              <w:adjustRightInd w:val="0"/>
              <w:snapToGrid w:val="0"/>
              <w:spacing w:before="36" w:beforeLines="15"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防疫要求</w:t>
            </w:r>
          </w:p>
        </w:tc>
        <w:tc>
          <w:tcPr>
            <w:tcW w:w="3488" w:type="pct"/>
            <w:vAlign w:val="center"/>
          </w:tcPr>
          <w:p>
            <w:pPr>
              <w:widowControl w:val="0"/>
              <w:adjustRightInd w:val="0"/>
              <w:snapToGrid w:val="0"/>
              <w:spacing w:before="60" w:beforeLines="25"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各</w:t>
            </w: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lang w:val="zh-CN"/>
              </w:rPr>
              <w:t>需提前准备《吉祥码》，并按要求进行注册绑定工作，入场前佩戴N95口罩并出示吉祥码为绿色，出示通信行程卡且近7天无中高风险地区行程记录，出示吉事办中</w:t>
            </w:r>
            <w:r>
              <w:rPr>
                <w:rFonts w:hint="eastAsia" w:ascii="宋体" w:hAnsi="宋体" w:eastAsia="宋体" w:cs="宋体"/>
                <w:bCs/>
                <w:color w:val="auto"/>
                <w:szCs w:val="21"/>
                <w:highlight w:val="none"/>
                <w:lang w:val="en-US" w:eastAsia="zh-CN"/>
              </w:rPr>
              <w:t>24</w:t>
            </w:r>
            <w:r>
              <w:rPr>
                <w:rFonts w:hint="eastAsia" w:ascii="宋体" w:hAnsi="宋体" w:eastAsia="宋体" w:cs="宋体"/>
                <w:bCs/>
                <w:color w:val="auto"/>
                <w:szCs w:val="21"/>
                <w:highlight w:val="none"/>
                <w:lang w:val="zh-CN"/>
              </w:rPr>
              <w:t>小时内核酸检测报告，检测结果为阴性且经现场测温，体温符合正常标准后方可进入会场递交</w:t>
            </w:r>
            <w:r>
              <w:rPr>
                <w:rFonts w:hint="eastAsia" w:ascii="宋体" w:hAnsi="宋体" w:eastAsia="宋体" w:cs="宋体"/>
                <w:bCs/>
                <w:color w:val="auto"/>
                <w:szCs w:val="21"/>
                <w:highlight w:val="none"/>
              </w:rPr>
              <w:t>投标</w:t>
            </w:r>
            <w:r>
              <w:rPr>
                <w:rFonts w:hint="eastAsia" w:ascii="宋体" w:hAnsi="宋体" w:eastAsia="宋体" w:cs="宋体"/>
                <w:bCs/>
                <w:color w:val="auto"/>
                <w:szCs w:val="21"/>
                <w:highlight w:val="none"/>
                <w:lang w:val="zh-CN"/>
              </w:rPr>
              <w:t>文件，如不符合以上要求将拒绝其递交</w:t>
            </w:r>
            <w:r>
              <w:rPr>
                <w:rFonts w:hint="eastAsia" w:ascii="宋体" w:hAnsi="宋体" w:eastAsia="宋体" w:cs="宋体"/>
                <w:bCs/>
                <w:color w:val="auto"/>
                <w:szCs w:val="21"/>
                <w:highlight w:val="none"/>
              </w:rPr>
              <w:t>投标</w:t>
            </w:r>
            <w:r>
              <w:rPr>
                <w:rFonts w:hint="eastAsia" w:ascii="宋体" w:hAnsi="宋体" w:eastAsia="宋体" w:cs="宋体"/>
                <w:bCs/>
                <w:color w:val="auto"/>
                <w:szCs w:val="21"/>
                <w:highlight w:val="none"/>
                <w:lang w:val="zh-CN"/>
              </w:rPr>
              <w:t>文件，由此造成的后果由</w:t>
            </w: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lang w:val="zh-CN"/>
              </w:rPr>
              <w:t>自行承担。</w:t>
            </w:r>
          </w:p>
          <w:p>
            <w:pPr>
              <w:widowControl w:val="0"/>
              <w:adjustRightInd w:val="0"/>
              <w:snapToGrid w:val="0"/>
              <w:spacing w:before="60" w:beforeLines="25" w:line="360" w:lineRule="auto"/>
              <w:rPr>
                <w:rFonts w:hint="eastAsia" w:ascii="宋体" w:hAnsi="宋体" w:eastAsia="宋体" w:cs="宋体"/>
                <w:color w:val="auto"/>
                <w:highlight w:val="none"/>
                <w:lang w:val="zh-CN"/>
              </w:rPr>
            </w:pPr>
            <w:r>
              <w:rPr>
                <w:rFonts w:hint="eastAsia" w:ascii="宋体" w:hAnsi="宋体" w:eastAsia="宋体" w:cs="宋体"/>
                <w:bCs/>
                <w:color w:val="auto"/>
                <w:szCs w:val="21"/>
                <w:highlight w:val="none"/>
                <w:lang w:val="zh-CN"/>
              </w:rPr>
              <w:t>以上要求须根据当地政府最新防疫政策适时调整。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58" w:type="pct"/>
            <w:vAlign w:val="center"/>
          </w:tcPr>
          <w:p>
            <w:pPr>
              <w:widowControl w:val="0"/>
              <w:adjustRightInd w:val="0"/>
              <w:snapToGrid w:val="0"/>
              <w:spacing w:before="36" w:beforeLines="15"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r>
              <w:rPr>
                <w:rFonts w:hint="eastAsia" w:ascii="宋体" w:hAnsi="宋体" w:cs="宋体"/>
                <w:color w:val="auto"/>
                <w:szCs w:val="21"/>
                <w:highlight w:val="none"/>
                <w:lang w:val="en-US" w:eastAsia="zh-CN"/>
              </w:rPr>
              <w:t>9</w:t>
            </w:r>
          </w:p>
        </w:tc>
        <w:tc>
          <w:tcPr>
            <w:tcW w:w="4541" w:type="pct"/>
            <w:gridSpan w:val="2"/>
            <w:vAlign w:val="center"/>
          </w:tcPr>
          <w:p>
            <w:pPr>
              <w:widowControl w:val="0"/>
              <w:snapToGrid w:val="0"/>
              <w:textAlignment w:val="baseline"/>
              <w:rPr>
                <w:rFonts w:hint="eastAsia" w:ascii="宋体" w:hAnsi="宋体" w:eastAsia="宋体" w:cs="宋体"/>
                <w:color w:val="auto"/>
                <w:sz w:val="20"/>
                <w:szCs w:val="21"/>
                <w:highlight w:val="none"/>
              </w:rPr>
            </w:pPr>
            <w:r>
              <w:rPr>
                <w:rFonts w:hint="eastAsia" w:ascii="宋体" w:hAnsi="宋体" w:eastAsia="宋体" w:cs="宋体"/>
                <w:color w:val="auto"/>
                <w:szCs w:val="21"/>
                <w:highlight w:val="none"/>
              </w:rPr>
              <w:t>对投标人信用信息的查询：</w:t>
            </w:r>
          </w:p>
          <w:p>
            <w:pPr>
              <w:widowControl w:val="0"/>
              <w:adjustRightInd w:val="0"/>
              <w:snapToGrid w:val="0"/>
              <w:spacing w:before="60" w:beforeLines="25" w:line="360" w:lineRule="auto"/>
              <w:rPr>
                <w:rFonts w:hint="eastAsia" w:ascii="宋体" w:hAnsi="宋体" w:eastAsia="宋体" w:cs="宋体"/>
                <w:color w:val="auto"/>
                <w:szCs w:val="24"/>
                <w:highlight w:val="none"/>
              </w:rPr>
            </w:pPr>
            <w:r>
              <w:rPr>
                <w:rFonts w:hint="eastAsia" w:ascii="宋体" w:hAnsi="宋体" w:eastAsia="宋体" w:cs="宋体"/>
                <w:b/>
                <w:color w:val="auto"/>
                <w:szCs w:val="21"/>
                <w:highlight w:val="none"/>
              </w:rPr>
              <w:t>查询渠道：</w:t>
            </w:r>
            <w:r>
              <w:rPr>
                <w:rFonts w:hint="eastAsia" w:ascii="宋体" w:hAnsi="宋体" w:eastAsia="宋体" w:cs="宋体"/>
                <w:color w:val="auto"/>
                <w:szCs w:val="24"/>
                <w:highlight w:val="none"/>
              </w:rPr>
              <w:t>①“信用中国”网站（www.creditchina.gov.cn）：失信被执行人、重大税收违法案件当事人名单（即“税收违法黑名单”）。</w:t>
            </w:r>
          </w:p>
          <w:p>
            <w:pPr>
              <w:widowControl w:val="0"/>
              <w:adjustRightInd w:val="0"/>
              <w:snapToGrid w:val="0"/>
              <w:spacing w:before="60" w:beforeLines="25"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②中国政府采购网(www.ccgp.gov.cn)：政府采购严重违法失信行为信息记录。</w:t>
            </w:r>
          </w:p>
          <w:p>
            <w:pPr>
              <w:widowControl w:val="0"/>
              <w:snapToGrid w:val="0"/>
              <w:textAlignment w:val="baseline"/>
              <w:rPr>
                <w:rFonts w:hint="eastAsia" w:ascii="宋体" w:hAnsi="宋体" w:eastAsia="宋体" w:cs="宋体"/>
                <w:b/>
                <w:color w:val="auto"/>
                <w:sz w:val="20"/>
                <w:szCs w:val="21"/>
                <w:highlight w:val="none"/>
              </w:rPr>
            </w:pPr>
            <w:r>
              <w:rPr>
                <w:rFonts w:hint="eastAsia" w:ascii="宋体" w:hAnsi="宋体" w:eastAsia="宋体" w:cs="宋体"/>
                <w:b/>
                <w:color w:val="auto"/>
                <w:szCs w:val="21"/>
                <w:highlight w:val="none"/>
              </w:rPr>
              <w:t>查询截止时点：</w:t>
            </w:r>
            <w:r>
              <w:rPr>
                <w:rFonts w:hint="eastAsia" w:ascii="宋体" w:hAnsi="宋体" w:eastAsia="宋体" w:cs="宋体"/>
                <w:b/>
                <w:color w:val="auto"/>
                <w:szCs w:val="21"/>
                <w:highlight w:val="none"/>
                <w:lang w:val="zh-CN"/>
              </w:rPr>
              <w:t>同投标截止时间</w:t>
            </w:r>
          </w:p>
          <w:p>
            <w:pPr>
              <w:widowControl w:val="0"/>
              <w:snapToGrid w:val="0"/>
              <w:textAlignment w:val="baseline"/>
              <w:rPr>
                <w:rFonts w:hint="eastAsia" w:ascii="宋体" w:hAnsi="宋体" w:eastAsia="宋体" w:cs="宋体"/>
                <w:b/>
                <w:color w:val="auto"/>
                <w:sz w:val="20"/>
                <w:szCs w:val="21"/>
                <w:highlight w:val="none"/>
              </w:rPr>
            </w:pPr>
            <w:r>
              <w:rPr>
                <w:rFonts w:hint="eastAsia" w:ascii="宋体" w:hAnsi="宋体" w:eastAsia="宋体" w:cs="宋体"/>
                <w:b/>
                <w:color w:val="auto"/>
                <w:szCs w:val="21"/>
                <w:highlight w:val="none"/>
              </w:rPr>
              <w:t>信用信息查询记录和证据留存的具体方式：</w:t>
            </w:r>
          </w:p>
          <w:p>
            <w:pPr>
              <w:widowControl w:val="0"/>
              <w:adjustRightInd w:val="0"/>
              <w:snapToGrid w:val="0"/>
              <w:spacing w:before="60" w:beforeLines="25"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采购人或采购代理机构将按查询截止时点对所有投标人的信用信息进行查询，网站查询记录作为招投标存档备案材料的组成部分进行留存。</w:t>
            </w:r>
          </w:p>
          <w:p>
            <w:pPr>
              <w:widowControl w:val="0"/>
              <w:snapToGrid w:val="0"/>
              <w:textAlignment w:val="baseline"/>
              <w:rPr>
                <w:rFonts w:hint="eastAsia" w:ascii="宋体" w:hAnsi="宋体" w:eastAsia="宋体" w:cs="宋体"/>
                <w:b/>
                <w:color w:val="auto"/>
                <w:sz w:val="20"/>
                <w:szCs w:val="21"/>
                <w:highlight w:val="none"/>
              </w:rPr>
            </w:pPr>
            <w:r>
              <w:rPr>
                <w:rFonts w:hint="eastAsia" w:ascii="宋体" w:hAnsi="宋体" w:eastAsia="宋体" w:cs="宋体"/>
                <w:b/>
                <w:color w:val="auto"/>
                <w:szCs w:val="21"/>
                <w:highlight w:val="none"/>
              </w:rPr>
              <w:t>信用信息的使用规则：</w:t>
            </w:r>
          </w:p>
          <w:p>
            <w:pPr>
              <w:widowControl w:val="0"/>
              <w:adjustRightInd w:val="0"/>
              <w:snapToGrid w:val="0"/>
              <w:spacing w:before="60" w:beforeLines="25" w:line="360" w:lineRule="auto"/>
              <w:rPr>
                <w:rFonts w:hint="eastAsia" w:ascii="宋体" w:hAnsi="宋体" w:eastAsia="宋体" w:cs="宋体"/>
                <w:color w:val="auto"/>
                <w:spacing w:val="-1"/>
                <w:highlight w:val="none"/>
              </w:rPr>
            </w:pPr>
            <w:r>
              <w:rPr>
                <w:rFonts w:hint="eastAsia" w:ascii="宋体" w:hAnsi="宋体" w:eastAsia="宋体" w:cs="宋体"/>
                <w:color w:val="auto"/>
                <w:szCs w:val="24"/>
                <w:highlight w:val="none"/>
              </w:rPr>
              <w:t>采购人或采购代理机构按查询截止时点对所有</w:t>
            </w:r>
            <w:r>
              <w:rPr>
                <w:rFonts w:hint="eastAsia" w:ascii="宋体" w:hAnsi="宋体" w:eastAsia="宋体" w:cs="宋体"/>
                <w:color w:val="auto"/>
                <w:szCs w:val="21"/>
                <w:highlight w:val="none"/>
              </w:rPr>
              <w:t>投标人</w:t>
            </w:r>
            <w:r>
              <w:rPr>
                <w:rFonts w:hint="eastAsia" w:ascii="宋体" w:hAnsi="宋体" w:eastAsia="宋体" w:cs="宋体"/>
                <w:color w:val="auto"/>
                <w:szCs w:val="24"/>
                <w:highlight w:val="none"/>
              </w:rPr>
              <w:t>的信用信息进行查询，查询记录将作为评委评标的依据，对列入失信被执行人、重大税收违法案件当事人名单（即“税收违法黑名单”）、政府采购严重违法失信行为记录名单的</w:t>
            </w:r>
            <w:r>
              <w:rPr>
                <w:rFonts w:hint="eastAsia" w:ascii="宋体" w:hAnsi="宋体" w:eastAsia="宋体" w:cs="宋体"/>
                <w:color w:val="auto"/>
                <w:szCs w:val="21"/>
                <w:highlight w:val="none"/>
              </w:rPr>
              <w:t>投标人</w:t>
            </w:r>
            <w:r>
              <w:rPr>
                <w:rFonts w:hint="eastAsia" w:ascii="宋体" w:hAnsi="宋体" w:eastAsia="宋体" w:cs="宋体"/>
                <w:color w:val="auto"/>
                <w:szCs w:val="24"/>
                <w:highlight w:val="none"/>
              </w:rPr>
              <w:t>，投标文件作无效处理。</w:t>
            </w:r>
          </w:p>
        </w:tc>
      </w:tr>
    </w:tbl>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1.总则</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1.1招标项目概况</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1.1.1本招标项目已具备招标条件，现对货物采购进行招标。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1.1.2采购人：见投标人须知前附表。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1.1.3采购代理机构：见投标人须知前附表。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1.1.4项目名称及编号：见投标人须知前附表。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1.2招标项目的资金落实情况</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1.2.1资金落实情况：见投标人须知前附表。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1.3招标范围、供货时间、供货地点、质量要求</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1.3.1招标范围：见投标人须知前附表。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1.3.2供货期：见投标人须知前附表。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1.3.3供货地点：见投标人须知前附表。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1.3.4质量要求：见投标人须知前附表。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1.4投标人资格要求</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1.4.1投标人应具备承担本招标项目资质条件、能力和信誉：见投标人须知前附表。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r>
        <w:rPr>
          <w:rFonts w:hint="eastAsia" w:ascii="宋体" w:hAnsi="宋体" w:eastAsia="宋体" w:cs="宋体"/>
          <w:bCs/>
          <w:color w:val="auto"/>
          <w:szCs w:val="21"/>
          <w:highlight w:val="none"/>
        </w:rPr>
        <w:t>本次招标不接受联合体投标。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1.4.3投标人不得存在下列情形之一：</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（1）与采购人存在利害关系且可能影响招标公正性；</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（2）与本招标项目的其他投标人为同一个单位负责人；</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（3）与本招标项目的其他投标人存在直接控股、管理关系；</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（4）为本招标项目提供过设计、编制技术规范和其他文件的咨询服务；</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（5）被依法暂停或者取消投标资格；</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（6）被责令停产停业、暂扣或者吊销许可证、暂扣或者吊销执照；</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（7）进入清算程序，或被宣告破产，或其他丧失履约能力的情形；</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（8）在最近三年内发生重大产品质量问题（以相关行业主管部门的行政处罚决定或司法机关出具的有关法律文书为准）；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（9）法律法规或投标人须知前附表规定的其他情形。</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费用承担</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投标人准备和参加投标活动发生的费用自理。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保密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参与招标投标活动的各方应对招标文件和投标文件中的商业和技术等秘密保密，否则应承担相应的法律责任。</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语言文字</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招标投标文件使用的语言文字为中文。专用术语使用外文的，应附有中文注释。</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 计量单位</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所有计量均采用中华人民共和国法定计量单位。</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 踏勘现场</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1.9.1 投标人须知前附表规定组织踏勘现场的，采购人按投标人须知前附表规定的时间、地点组织投标人踏勘项目现场。 </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投标人踏勘现场发生的费用自理。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 除采购人的原因外，投标人自行负责在踏勘现场中所发生的人员伤亡和财产损失。</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 采购人在踏勘现场中介绍的工程场地和相关的周边环境情况，供投标人在编制投标文件时参考，采购人不对投标人据此作出的判断和决策负责。</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1.10投标预备会</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1.10.1投标人须知前附表规定召开投标预备会的，采购人按投标人须知前附表规定的时间和地点召开投标预备会，澄清投标人提出的问题。</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1.10.2投标人应按投标人须知前附表规定的时间和形式将提出的问题送达采购人，以便采购人在会议期间澄清。</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1.10.3投标预备会后，采购人将对投标人所提问题的澄清，以投标人须知前附表规定的形式通知所有购买招标文件的投标人。该澄清内容为招标文件的组成部分。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1.11分包、转包</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1.12响应和偏差</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1.12.1投标文件应当对招标文件的实质性要求和条件作出满足性或更有利于采购人的响应，否则，投标人的投标将被否决。实质性要求和条件见投标人须知前附表。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1.12.2投标文件对招标文件的全部偏差，均应在投标文件的商务和技术偏差表中列明，除列明的内容外，视为投标人响应招标文件的全部要求。</w:t>
      </w:r>
    </w:p>
    <w:p>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2.招标文件</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2.1招标文件的组成</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本招标文件包括：</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（2）投标人须知；</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（3）评标办法；</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（4）合同条款；</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（5）项目需求；</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投标人须知前附表规定的其他资料。</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根据本章第 1.10 款、第 2.2 款和第 2.3 款对招标文件所作的澄清、修改，构成招标文件的组成部分。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2.2招标文件的澄清</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投标人应仔细阅读和检查招标文件的全部内容。如发现缺页或附件不全，应及时向采购人提出，以便补齐。如有疑问，应按投标人须知前附表规定的时间和形式将提出的问题送达采购人，要求采购人对招标文件予以澄清。</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2.2.3投标人在收到澄清后，应按投标人须知前附表规定的时间和形式通知采购人，确认已收到该澄清。</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2.2.4除非采购人认为确有必要答复，否则，采购人有权拒绝回复投标人在本章第 2.2.1 项规定的时间后的任何澄清要求。</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2.3招标文件的修改</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2.3.1采购人以投标人须知前附表规定的形式修改招标文件，并通知所有已购买招标文件的投标人。修改招标文件的时间距本章第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2.3.2投标人收到修改内容后，应按投标人须知前附表规定的时间和形式通知采购人，确认已收到该修改。</w:t>
      </w:r>
    </w:p>
    <w:p>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3.投标文件</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3.1投标文件的组成</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3.1.1投标文件应包括下列内容：</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w:t>
      </w:r>
    </w:p>
    <w:p>
      <w:pPr>
        <w:numPr>
          <w:ilvl w:val="0"/>
          <w:numId w:val="3"/>
        </w:num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法定代表人身份证明或授权委托书；</w:t>
      </w:r>
    </w:p>
    <w:p>
      <w:pPr>
        <w:numPr>
          <w:ilvl w:val="0"/>
          <w:numId w:val="3"/>
        </w:num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w:t>
      </w:r>
    </w:p>
    <w:p>
      <w:pPr>
        <w:numPr>
          <w:ilvl w:val="0"/>
          <w:numId w:val="3"/>
        </w:num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p>
      <w:pPr>
        <w:numPr>
          <w:ilvl w:val="0"/>
          <w:numId w:val="3"/>
        </w:num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商务和技术偏差表；</w:t>
      </w:r>
    </w:p>
    <w:p>
      <w:pPr>
        <w:numPr>
          <w:ilvl w:val="0"/>
          <w:numId w:val="3"/>
        </w:num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分项报价表；</w:t>
      </w:r>
    </w:p>
    <w:p>
      <w:pPr>
        <w:numPr>
          <w:ilvl w:val="0"/>
          <w:numId w:val="3"/>
        </w:num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资格审查资料；</w:t>
      </w:r>
    </w:p>
    <w:p>
      <w:pPr>
        <w:numPr>
          <w:ilvl w:val="0"/>
          <w:numId w:val="3"/>
        </w:num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其他资料。</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投标人在评标过程中作出的符合法律法规和招标文件规定的澄清确认，构成投标文件的组成部分。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投标人须知前附表未要求提交投标保证金的，投标文件不包括本章第 3.1.1（4）目所指的投标保证金。</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3.2投标报价</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3.2.1投标报价应包括国家规定的增值税税金，除投标人须知前附表另有规定外，增值税税金按一般计税方法计算。投标人应按第六章“投标文件格式”的要求在投标函中进行报价并填写分项报价表。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3.2.2投标人应充分了解该项目的总体情况以及影响投标报价的其他要素。</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3.2.4采购人设有采购预算的，投标人的投标报价不得超过采购预算，采购预算在投标人须知前附表中载明。</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3.2.5投标报价的其他要求见投标人须知前附表。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3.3投标有效期</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3.3.1除投标人须知前附表另有规定外，投标有效期为 90 天。</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3.3.2在投标有效期内，投标人撤销投标文件的，应承担招标文件和法律规定的责任。</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出现特殊情况需要延长投标有效期的，采购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3.4投标保证金</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投标人须知前附表规定递交投标保证金的，投标人在递交投标文件的同时，应按投标人须知前附表规定的金额、担保形式和第六章“投标文件格式”规定的投标保证金格式递交投标保证金，并作为其投标文件的组成部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3.4.2投标人不按本章第 3.4.1 项要求提交投标保证金的，评标委员会将否决其投标。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3.4.3采购人向中标人发放中标通知书后五个工作日内，退还未中标投标人的投标保证金，采购人与中标人签订合同后五个工作日内，退还中标人的投标保证金。</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3.4.4有下列情形之一的，投标保证金将不予退还：</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（2）中标人在收到中标通知书后，无正当理由不与采购人订立合同，在签订合同时向采购人提出附加条件；</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（3）发生投标人须知前附表规定的其他可以不予退还投标保证金的情形。</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资格审查资料</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除投标人须知前附表另有规定外，投标人应按下列规定提供资格审查资料，以证明其满足本章第 1.4 款规定的资质、财务、信誉等要求。</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  应附投标人营业执照副本等材料的复印件</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3.5.2“近三年财务状况表”应附经会计师事务所出具的年度财务审计报告</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highlight w:val="none"/>
        </w:rPr>
        <w:t>资信证明</w:t>
      </w:r>
      <w:r>
        <w:rPr>
          <w:rFonts w:hint="eastAsia" w:ascii="宋体" w:hAnsi="宋体" w:eastAsia="宋体" w:cs="宋体"/>
          <w:color w:val="auto"/>
          <w:szCs w:val="21"/>
          <w:highlight w:val="none"/>
        </w:rPr>
        <w:t>，财务审计报告包括资产负债表、现金流量表、利润表和财务情况说明书的复印件，具体年份要求见投标人须知前附表。投标人的成立时间少于投标人须知前附表规定年份的，应提供成立以来的财务审计报告。</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3.6备选投标方案</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3.6.1除投标人须知前附表规定允许外，投标人不得递交备选投标方案，否则其投标将被否决。</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3.6.2允许投标人递交备选投标方案的，只有中标人所递交的备选投标方案方可予以考虑。评标委员会认为中标人的备选投标方案优于其按照招标文件要求编制的投标方案的，采购人可以接受该备选投标方案。</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3.6.3投标人提供两个或两个以上投标报价，或者在投标文件中提供一个报价，但同时提供两个或两个以上供货方案的，视为提供备选方案。</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3.7投标文件的编制</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3.7.1投标文件应按第六章“投标文件格式”进行编写，如有必要，可以增加附页，作为投标文件的组成部分。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3.7.2投标文件应当对招标文件有关供货时间、投标有效期、项目需求、招标范围等实质性内容作出响应。投标文件在满足招标文件实质性要求的基础上，可以提出比招标文件要求更有利于采购人的承诺。</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正本一份，副本份数见投标人须知前附表。正本和副本的封面应清楚地标记“正本”或“副本”的字样。投标人应根据投标人须知前附表要求提供电子版文件。当副本和正本不一致或电子版文件和纸质正本文件不一致时，以纸质正本文件为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（3）投标文件的正本与副本应分别装订，并编制目录，投标文件需分册装订的，具体分册装订要求见投标人须知前附表规定。</w:t>
      </w:r>
    </w:p>
    <w:p>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4.投标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4.1投标文件的密封和标记</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4.1.1投标文件应统一密封包装，并在封套的封口处加盖投标人单位章或由投标人的法定代表人或其授权的代理人签字。</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4.1.2投标文件封套上应写明的内容见投标人须知前附表。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4.1.3未按本章第 4.1.1 项要求密封的投标文件，采购人将予以拒收。</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4.2投标文件的递交</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4.2.1投标人应在投标人须知前附表规定的投标截止时间前递交投标文件。</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4.2.2投标人递交投标文件的地点：见投标人须知前附表。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4.2.3除投标人须知前附表另有规定外，投标人所递交的投标文件不予退还。</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4.2.4</w:t>
      </w:r>
      <w:r>
        <w:rPr>
          <w:rFonts w:hint="eastAsia" w:ascii="宋体" w:hAnsi="宋体" w:eastAsia="宋体" w:cs="宋体"/>
          <w:bCs/>
          <w:color w:val="auto"/>
          <w:szCs w:val="21"/>
          <w:highlight w:val="none"/>
        </w:rPr>
        <w:t>采购人或采购代理机构收到投标文件后，如实记载投标文件的送达时间和密封情况，签收保存。</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4.2.5逾期送达的投标文件，采购人将予以拒收。</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4.3投标文件的修改与撤回</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4.3.1在本章第 4.2.1 项规定的投标截止时间前，投标人可以修改或撤回已递交的投标文件，但应以书面形式通知采购人。</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4.3.2投标人修改或撤回已递交投标文件的书面通知应按照本章第 3.7.3（1）项的要求签字或盖章。采购人收到书面通知后，向投标人出具签收凭证。</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4.3.3投标人撤回投标文件的，采购人自收到投标人书面撤回通知之日起 5 日内退还已收取的投标保证金。</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4.3.4修改的内容为投标文件的组成部分。修改的投标文件应按照本章第 3 条、第 4 条的规定进行编制、密封、标记和递交，并标明“修改”字样。</w:t>
      </w:r>
    </w:p>
    <w:p>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5.开标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5.1开标时间和地点</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采购人在本章第 4.2.1 项规定的投标截止时间（开标时间）和投标人须知前附表规定的地点公开开标，并邀请所有投标人的法定代表人或其委托代理人准时参加。</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开标程序</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（2）公布在投标截止时间前递交投标文件的投标人名称；</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（3）宣布开标人、唱标人、记录人、特邀监察员等有关人员；</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（4）检查投标文件的密封情况，按照投标人须知前附表规定的开标顺序当众开标，公布招标项目名称、投标人名称、投标保证金的递交情况、投标报价、供货时间、供货地点及其他内容，并记录在案；</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（5）规定采购预算的，公布采购预算;</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（6）投标人代表、采购人代表、特邀监察员、记录人等有关人员在开标记录上签字确认；</w:t>
      </w:r>
    </w:p>
    <w:p>
      <w:pPr>
        <w:adjustRightInd w:val="0"/>
        <w:snapToGrid w:val="0"/>
        <w:spacing w:line="312"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 开标结束。</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开标异议</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投标人对开标有异议的，应当在开标现场提出，采购人当场作出答复，并制作记录。</w:t>
      </w:r>
    </w:p>
    <w:p>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6.评标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6.1评标委员会</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评标由采购人依法组建的评标委员会负责。评标委员会由采购人熟悉相关业务的代表，以及有关技术、经济等方面的专家组成。评标委员会成员人数以及技术、经济等方面专家的确定方式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6.1.2评标委员会成员有下列情形之一的，应当回避：</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（1）投标人或投标人主要负责人的近亲属；</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（2）项目主管部门或者行政监督部门的人员；</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（3）与投标人有经济利益关系，可能影响对投标公正评审的；</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（4）曾因在招标、评标以及其他与招标投标有关活动中从事违法行为而受过行政处罚或刑事处罚的；</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（5）与投标人有其他利害关系。</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 评标过程中，评标委员会成员有回避事由、擅离职守或者因健康等原因不能继续评标的，采购人有权更换。被更换的评标委员会成员作出的评审结论无效，由更换后的评标委员会成员重新进行评审。</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评标原则</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评标活动遵循公平、公正、科学和择优的原则。</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6.3.1评标委员会按照第三章“评标办法”规定的方法、评审因素、标准和程序对投标文件进行评审。第三章“评标办法”没有规定的方法、评审因素和标准，不作为评标依据。</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6.3.2评标完成后，评标委员会应当向采购人提交书面评标报告和中标候选人名单。评标委员会推荐中标候选人的数量见投标人须知前附表。</w:t>
      </w:r>
    </w:p>
    <w:p>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7.合同授予</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7.1中标结果公告媒介</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定标</w:t>
      </w:r>
    </w:p>
    <w:p>
      <w:pPr>
        <w:adjustRightInd w:val="0"/>
        <w:snapToGrid w:val="0"/>
        <w:spacing w:line="312"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除投标人须知前附表规定评标委员会直接确定中标人外，采购人依据评标委员会推荐的中标候选人确定中标人，评标委员会推荐中标候选人的人数见投标人须知前附表。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中标通知</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在本章第 3.3 款规定的投标有效期内，采购人以书面形式向中标人发出中标通知书，同时将中标结果通知未中标的投标人。</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7.4签订合同</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采购人和中标人应当在中标通知书发出之日起3日内，根据招标文件和中标人的投标文件完成合同拟订。中标人无正当理由拒签合同，在签订合同时向采购人提出附加条件；给采购人造成的损失超过投标保证金数额的，中标人还应当对超过部分予以赔偿。</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7.4.2发出中标通知书后，采购人无正当理由拒签合同，或者在签订合同时向中标人提出附加条件的，采购人向中标人退还投标保证金；给中标人造成损失的，还应当赔偿损失。</w:t>
      </w:r>
    </w:p>
    <w:p>
      <w:pPr>
        <w:spacing w:line="312"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 重新招标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8.1 重新招标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有下列情形之一的，采购人将重新招标：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（1）投标截止时间止，投标人少于3个的；</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（2）在评标期间出现符合专业条件的投标人或者对招标文件作实质性响应的投标人不足3个情形的。</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（3）法律法规规定的其他情形。</w:t>
      </w:r>
    </w:p>
    <w:p>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9.纪律和监督</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9.1 对采购人的纪律要求</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采购人不得泄露招标投标活动中应当保密的情况和资料，不得与投标人串通损害国家利益、社会公共利益或者他人合法权益。</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9.2 对投标人的纪律要求</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9.3 对评标委员会成员的纪律要求</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9.4 对与评标活动有关的工作人员的纪律要求</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9.5投诉</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9.5.1投标人或者其他利害关系人认为招标投标活动不符合法律、行政法规规定的。投诉应当有明确的请求和必要的证明材料。</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9.5.2投标人或者其他利害关系人对招标文件、开标和评标结果提出投诉的，应当按照投标人须知第 2.2 款、第 5.3 款及相关条款的规定先向采购代理机构、采购人提出异议。</w:t>
      </w:r>
    </w:p>
    <w:p>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 需要补充的其他内容</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需要补充的其他内容：见投标人须知前附表。</w:t>
      </w:r>
    </w:p>
    <w:p>
      <w:pPr>
        <w:spacing w:line="312" w:lineRule="auto"/>
        <w:jc w:val="left"/>
        <w:rPr>
          <w:rFonts w:hint="eastAsia" w:ascii="宋体" w:hAnsi="宋体" w:eastAsia="宋体" w:cs="宋体"/>
          <w:color w:val="auto"/>
          <w:szCs w:val="21"/>
          <w:highlight w:val="none"/>
        </w:rPr>
      </w:pPr>
    </w:p>
    <w:p>
      <w:pPr>
        <w:spacing w:line="312" w:lineRule="auto"/>
        <w:jc w:val="left"/>
        <w:rPr>
          <w:rFonts w:hint="eastAsia" w:ascii="宋体" w:hAnsi="宋体" w:eastAsia="宋体" w:cs="宋体"/>
          <w:color w:val="auto"/>
          <w:szCs w:val="21"/>
          <w:highlight w:val="none"/>
        </w:rPr>
      </w:pP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312" w:lineRule="auto"/>
        <w:jc w:val="left"/>
        <w:rPr>
          <w:rFonts w:hint="eastAsia" w:ascii="宋体" w:hAnsi="宋体" w:eastAsia="宋体" w:cs="宋体"/>
          <w:color w:val="auto"/>
          <w:szCs w:val="21"/>
          <w:highlight w:val="none"/>
        </w:rPr>
      </w:pPr>
    </w:p>
    <w:p>
      <w:pPr>
        <w:spacing w:line="312" w:lineRule="auto"/>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附件一：</w:t>
      </w:r>
    </w:p>
    <w:p>
      <w:pPr>
        <w:widowControl w:val="0"/>
        <w:spacing w:before="240" w:beforeLines="100" w:after="240" w:afterLines="100" w:line="312"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疑问格式</w:t>
      </w:r>
    </w:p>
    <w:p>
      <w:pPr>
        <w:widowControl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项目名称：</w:t>
      </w:r>
    </w:p>
    <w:p>
      <w:pPr>
        <w:widowControl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927" w:type="dxa"/>
            <w:vAlign w:val="center"/>
          </w:tcPr>
          <w:p>
            <w:pPr>
              <w:widowControl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w:t>
            </w:r>
          </w:p>
        </w:tc>
        <w:tc>
          <w:tcPr>
            <w:tcW w:w="4927" w:type="dxa"/>
            <w:vAlign w:val="center"/>
          </w:tcPr>
          <w:p>
            <w:pPr>
              <w:widowControl w:val="0"/>
              <w:snapToGrid w:val="0"/>
              <w:spacing w:line="312" w:lineRule="auto"/>
              <w:rPr>
                <w:rFonts w:hint="eastAsia" w:ascii="宋体" w:hAnsi="宋体" w:eastAsia="宋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9854" w:type="dxa"/>
            <w:gridSpan w:val="2"/>
          </w:tcPr>
          <w:p>
            <w:pPr>
              <w:widowControl w:val="0"/>
              <w:snapToGrid w:val="0"/>
              <w:spacing w:line="312" w:lineRule="auto"/>
              <w:rPr>
                <w:rFonts w:hint="eastAsia" w:ascii="宋体" w:hAnsi="宋体" w:eastAsia="宋体" w:cs="宋体"/>
                <w:bCs/>
                <w:color w:val="auto"/>
                <w:szCs w:val="21"/>
                <w:highlight w:val="none"/>
              </w:rPr>
            </w:pPr>
          </w:p>
          <w:p>
            <w:pPr>
              <w:widowControl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不清楚问题：</w:t>
            </w:r>
          </w:p>
          <w:p>
            <w:pPr>
              <w:widowControl w:val="0"/>
              <w:snapToGrid w:val="0"/>
              <w:spacing w:line="312" w:lineRule="auto"/>
              <w:ind w:firstLine="420" w:firstLineChars="200"/>
              <w:rPr>
                <w:rFonts w:hint="eastAsia" w:ascii="宋体" w:hAnsi="宋体" w:eastAsia="宋体" w:cs="宋体"/>
                <w:bCs/>
                <w:color w:val="auto"/>
                <w:szCs w:val="21"/>
                <w:highlight w:val="none"/>
              </w:rPr>
            </w:pPr>
          </w:p>
        </w:tc>
      </w:tr>
    </w:tbl>
    <w:p>
      <w:pPr>
        <w:widowControl w:val="0"/>
        <w:snapToGrid w:val="0"/>
        <w:spacing w:line="312" w:lineRule="auto"/>
        <w:jc w:val="right"/>
        <w:rPr>
          <w:rFonts w:hint="eastAsia" w:ascii="宋体" w:hAnsi="宋体" w:eastAsia="宋体" w:cs="宋体"/>
          <w:bCs/>
          <w:color w:val="auto"/>
          <w:szCs w:val="21"/>
          <w:highlight w:val="none"/>
        </w:rPr>
      </w:pPr>
    </w:p>
    <w:p>
      <w:pPr>
        <w:widowControl w:val="0"/>
        <w:snapToGrid w:val="0"/>
        <w:spacing w:line="312" w:lineRule="auto"/>
        <w:ind w:right="10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投标人：               （公章）</w:t>
      </w:r>
    </w:p>
    <w:p>
      <w:pPr>
        <w:tabs>
          <w:tab w:val="left" w:pos="7580"/>
          <w:tab w:val="left" w:pos="8540"/>
        </w:tabs>
        <w:overflowPunct w:val="0"/>
        <w:spacing w:line="312" w:lineRule="auto"/>
        <w:jc w:val="right"/>
        <w:rPr>
          <w:rFonts w:hint="eastAsia" w:ascii="宋体" w:hAnsi="宋体" w:eastAsia="宋体" w:cs="宋体"/>
          <w:color w:val="auto"/>
          <w:sz w:val="20"/>
          <w:highlight w:val="none"/>
        </w:rPr>
      </w:pPr>
      <w:r>
        <w:rPr>
          <w:rFonts w:hint="eastAsia" w:ascii="宋体" w:hAnsi="宋体" w:eastAsia="宋体" w:cs="宋体"/>
          <w:bCs/>
          <w:color w:val="auto"/>
          <w:szCs w:val="21"/>
          <w:highlight w:val="none"/>
        </w:rPr>
        <w:t xml:space="preserve">  日    期：</w:t>
      </w:r>
    </w:p>
    <w:p>
      <w:pPr>
        <w:tabs>
          <w:tab w:val="left" w:pos="7580"/>
          <w:tab w:val="left" w:pos="8540"/>
        </w:tabs>
        <w:overflowPunct w:val="0"/>
        <w:spacing w:line="312" w:lineRule="auto"/>
        <w:ind w:left="6660"/>
        <w:jc w:val="left"/>
        <w:rPr>
          <w:rFonts w:hint="eastAsia" w:ascii="宋体" w:hAnsi="宋体" w:eastAsia="宋体" w:cs="宋体"/>
          <w:color w:val="auto"/>
          <w:sz w:val="20"/>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8"/>
          <w:highlight w:val="none"/>
        </w:rPr>
      </w:pPr>
    </w:p>
    <w:p>
      <w:pP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pPr>
        <w:spacing w:line="312" w:lineRule="auto"/>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附件二：质疑函范本</w:t>
      </w:r>
    </w:p>
    <w:p>
      <w:pPr>
        <w:adjustRightInd w:val="0"/>
        <w:snapToGrid w:val="0"/>
        <w:spacing w:before="240" w:beforeLines="100"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一、质疑投标单位基本信息</w:t>
      </w:r>
    </w:p>
    <w:p>
      <w:pPr>
        <w:adjustRightInd w:val="0"/>
        <w:snapToGrid w:val="0"/>
        <w:spacing w:line="312" w:lineRule="auto"/>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质疑投标单位：</w:t>
      </w:r>
    </w:p>
    <w:p>
      <w:pPr>
        <w:adjustRightInd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地址：邮编：</w:t>
      </w:r>
    </w:p>
    <w:p>
      <w:pPr>
        <w:adjustRightInd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联系人：联系电话：</w:t>
      </w:r>
    </w:p>
    <w:p>
      <w:pPr>
        <w:adjustRightInd w:val="0"/>
        <w:snapToGrid w:val="0"/>
        <w:spacing w:line="312" w:lineRule="auto"/>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授权代表：</w:t>
      </w:r>
    </w:p>
    <w:p>
      <w:pPr>
        <w:adjustRightInd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w:t>
      </w:r>
    </w:p>
    <w:p>
      <w:pPr>
        <w:adjustRightInd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 邮编：</w:t>
      </w:r>
    </w:p>
    <w:p>
      <w:pPr>
        <w:adjustRightInd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pPr>
        <w:adjustRightInd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质疑项目的名称：</w:t>
      </w:r>
    </w:p>
    <w:p>
      <w:pPr>
        <w:adjustRightInd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质疑项目的编号：包号：</w:t>
      </w:r>
    </w:p>
    <w:p>
      <w:pPr>
        <w:adjustRightInd w:val="0"/>
        <w:snapToGrid w:val="0"/>
        <w:spacing w:line="312" w:lineRule="auto"/>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采购人名称：</w:t>
      </w:r>
    </w:p>
    <w:p>
      <w:pPr>
        <w:adjustRightInd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招标文件获取日期：</w:t>
      </w:r>
    </w:p>
    <w:p>
      <w:pPr>
        <w:adjustRightInd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pPr>
        <w:adjustRightInd w:val="0"/>
        <w:snapToGrid w:val="0"/>
        <w:spacing w:line="312" w:lineRule="auto"/>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质疑事项1：</w:t>
      </w:r>
    </w:p>
    <w:p>
      <w:pPr>
        <w:adjustRightInd w:val="0"/>
        <w:snapToGrid w:val="0"/>
        <w:spacing w:line="312" w:lineRule="auto"/>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事实依据：</w:t>
      </w:r>
    </w:p>
    <w:p>
      <w:pPr>
        <w:adjustRightInd w:val="0"/>
        <w:snapToGrid w:val="0"/>
        <w:spacing w:line="312" w:lineRule="auto"/>
        <w:rPr>
          <w:rFonts w:hint="eastAsia" w:ascii="宋体" w:hAnsi="宋体" w:eastAsia="宋体" w:cs="宋体"/>
          <w:bCs/>
          <w:color w:val="auto"/>
          <w:szCs w:val="21"/>
          <w:highlight w:val="none"/>
        </w:rPr>
      </w:pPr>
    </w:p>
    <w:p>
      <w:pPr>
        <w:adjustRightInd w:val="0"/>
        <w:snapToGrid w:val="0"/>
        <w:spacing w:line="312" w:lineRule="auto"/>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法律依据：</w:t>
      </w:r>
    </w:p>
    <w:p>
      <w:pPr>
        <w:adjustRightInd w:val="0"/>
        <w:snapToGrid w:val="0"/>
        <w:spacing w:line="312" w:lineRule="auto"/>
        <w:rPr>
          <w:rFonts w:hint="eastAsia" w:ascii="宋体" w:hAnsi="宋体" w:eastAsia="宋体" w:cs="宋体"/>
          <w:bCs/>
          <w:color w:val="auto"/>
          <w:szCs w:val="21"/>
          <w:highlight w:val="none"/>
          <w:u w:val="dotted"/>
        </w:rPr>
      </w:pPr>
    </w:p>
    <w:p>
      <w:pPr>
        <w:adjustRightInd w:val="0"/>
        <w:snapToGrid w:val="0"/>
        <w:spacing w:line="312" w:lineRule="auto"/>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质疑事项2</w:t>
      </w:r>
    </w:p>
    <w:p>
      <w:pPr>
        <w:adjustRightInd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p>
      <w:pPr>
        <w:adjustRightInd w:val="0"/>
        <w:snapToGrid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pPr>
        <w:adjustRightInd w:val="0"/>
        <w:snapToGrid w:val="0"/>
        <w:spacing w:line="312" w:lineRule="auto"/>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请求：</w:t>
      </w:r>
    </w:p>
    <w:p>
      <w:pPr>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签字(签章)：                   公章：                      </w:t>
      </w:r>
    </w:p>
    <w:p>
      <w:pPr>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日期：    </w:t>
      </w:r>
    </w:p>
    <w:p>
      <w:pPr>
        <w:adjustRightInd w:val="0"/>
        <w:snapToGrid w:val="0"/>
        <w:spacing w:line="312" w:lineRule="auto"/>
        <w:rPr>
          <w:rFonts w:hint="eastAsia" w:ascii="宋体" w:hAnsi="宋体" w:eastAsia="宋体" w:cs="宋体"/>
          <w:bCs/>
          <w:color w:val="auto"/>
          <w:szCs w:val="21"/>
          <w:highlight w:val="none"/>
        </w:rPr>
      </w:pPr>
    </w:p>
    <w:p>
      <w:pPr>
        <w:spacing w:line="312" w:lineRule="auto"/>
        <w:jc w:val="center"/>
        <w:rPr>
          <w:rFonts w:hint="eastAsia" w:ascii="宋体" w:hAnsi="宋体" w:eastAsia="宋体" w:cs="宋体"/>
          <w:bCs/>
          <w:color w:val="auto"/>
          <w:szCs w:val="21"/>
          <w:highlight w:val="none"/>
        </w:rPr>
      </w:pPr>
    </w:p>
    <w:p>
      <w:pPr>
        <w:spacing w:line="312" w:lineRule="auto"/>
        <w:jc w:val="center"/>
        <w:rPr>
          <w:rFonts w:hint="eastAsia" w:ascii="宋体" w:hAnsi="宋体" w:eastAsia="宋体" w:cs="宋体"/>
          <w:bCs/>
          <w:color w:val="auto"/>
          <w:szCs w:val="21"/>
          <w:highlight w:val="none"/>
        </w:rPr>
      </w:pPr>
    </w:p>
    <w:p>
      <w:pPr>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br w:type="page"/>
      </w:r>
    </w:p>
    <w:p>
      <w:pPr>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质疑函制作说明：</w:t>
      </w:r>
    </w:p>
    <w:p>
      <w:pPr>
        <w:spacing w:line="312"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1.投标单位提出质疑时，应提交质疑函和必要的证明材料。</w:t>
      </w:r>
    </w:p>
    <w:p>
      <w:pPr>
        <w:spacing w:line="312"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2.质疑投标单位若委托代理人进行质疑的，质疑函应按要求列明“授权代表”的有关内容，并在附件中提交由质疑</w:t>
      </w:r>
      <w:r>
        <w:rPr>
          <w:rFonts w:hint="eastAsia" w:ascii="宋体" w:hAnsi="宋体" w:eastAsia="宋体" w:cs="宋体"/>
          <w:bCs/>
          <w:color w:val="auto"/>
          <w:kern w:val="0"/>
          <w:szCs w:val="21"/>
          <w:highlight w:val="none"/>
        </w:rPr>
        <w:t>投标单位签署的授权委托书。授权委托书应载明代理人的姓名或者名称、代理事项、具体权限、期限和相关事项。</w:t>
      </w:r>
    </w:p>
    <w:p>
      <w:pPr>
        <w:spacing w:line="312"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3.质疑投标单位若对项目的某一分包进行质疑，质疑函中应列明具体分包号。</w:t>
      </w:r>
    </w:p>
    <w:p>
      <w:pPr>
        <w:spacing w:line="312"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4.质疑函的质疑事项应具体、明确，并有必要的事实依据和法律依据。</w:t>
      </w:r>
    </w:p>
    <w:p>
      <w:pPr>
        <w:spacing w:line="312"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5.质疑函的质疑请求应与质疑事项相关。</w:t>
      </w:r>
    </w:p>
    <w:p>
      <w:pPr>
        <w:spacing w:line="312"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6.质疑投标单位为自然人的，质疑函应由本人签字；质疑投标单位为法定代表人或者其他组织的，质疑函应由法定代表人、主要负责人，或者其授权代表签字或者盖章，并加盖公章。</w:t>
      </w:r>
    </w:p>
    <w:p>
      <w:pPr>
        <w:snapToGrid w:val="0"/>
        <w:spacing w:after="120" w:afterLines="50" w:line="312" w:lineRule="auto"/>
        <w:ind w:firstLine="480" w:firstLineChars="200"/>
        <w:rPr>
          <w:rFonts w:hint="eastAsia" w:ascii="宋体" w:hAnsi="宋体" w:eastAsia="宋体" w:cs="宋体"/>
          <w:bCs/>
          <w:color w:val="auto"/>
          <w:sz w:val="24"/>
          <w:szCs w:val="24"/>
          <w:highlight w:val="none"/>
        </w:rPr>
        <w:sectPr>
          <w:footerReference r:id="rId4" w:type="default"/>
          <w:pgSz w:w="11907" w:h="16840"/>
          <w:pgMar w:top="993" w:right="1394" w:bottom="1134" w:left="1273" w:header="851" w:footer="992" w:gutter="0"/>
          <w:pgNumType w:start="1"/>
          <w:cols w:space="720" w:num="1"/>
        </w:sectPr>
      </w:pPr>
    </w:p>
    <w:p>
      <w:pPr>
        <w:widowControl w:val="0"/>
        <w:snapToGrid w:val="0"/>
        <w:spacing w:after="120" w:afterLines="50" w:line="348"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附件三：投诉书范本</w:t>
      </w:r>
    </w:p>
    <w:p>
      <w:pPr>
        <w:spacing w:line="348" w:lineRule="auto"/>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投诉人：</w:t>
      </w:r>
    </w:p>
    <w:p>
      <w:pPr>
        <w:spacing w:line="348"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地     址：邮编：</w:t>
      </w:r>
    </w:p>
    <w:p>
      <w:pPr>
        <w:tabs>
          <w:tab w:val="left" w:pos="6510"/>
        </w:tabs>
        <w:spacing w:line="34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法定代表人/主要负责人：</w:t>
      </w:r>
    </w:p>
    <w:p>
      <w:pPr>
        <w:tabs>
          <w:tab w:val="left" w:pos="6510"/>
        </w:tabs>
        <w:spacing w:line="348" w:lineRule="auto"/>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联系电话：</w:t>
      </w:r>
    </w:p>
    <w:p>
      <w:pPr>
        <w:spacing w:line="348" w:lineRule="auto"/>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授权代表：联系电话</w:t>
      </w:r>
      <w:r>
        <w:rPr>
          <w:rFonts w:hint="eastAsia" w:ascii="宋体" w:hAnsi="宋体" w:eastAsia="宋体" w:cs="宋体"/>
          <w:bCs/>
          <w:color w:val="auto"/>
          <w:szCs w:val="21"/>
          <w:highlight w:val="none"/>
          <w:u w:val="dotted"/>
        </w:rPr>
        <w:t xml:space="preserve">：                  </w:t>
      </w:r>
    </w:p>
    <w:p>
      <w:pPr>
        <w:spacing w:line="348" w:lineRule="auto"/>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地     址：邮编：</w:t>
      </w:r>
    </w:p>
    <w:p>
      <w:pPr>
        <w:spacing w:line="348"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被投诉人1：</w:t>
      </w:r>
    </w:p>
    <w:p>
      <w:pPr>
        <w:spacing w:line="348"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地     址：邮编：</w:t>
      </w:r>
    </w:p>
    <w:p>
      <w:pPr>
        <w:spacing w:line="348"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联系人：联系电话：</w:t>
      </w:r>
    </w:p>
    <w:p>
      <w:pPr>
        <w:spacing w:line="34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被投诉人2……</w:t>
      </w:r>
    </w:p>
    <w:p>
      <w:pPr>
        <w:spacing w:line="348"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相关投标单位：</w:t>
      </w:r>
    </w:p>
    <w:p>
      <w:pPr>
        <w:spacing w:line="348"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地     址：邮编：</w:t>
      </w:r>
    </w:p>
    <w:p>
      <w:pPr>
        <w:spacing w:line="348"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联系人：联系电话：</w:t>
      </w:r>
    </w:p>
    <w:p>
      <w:pPr>
        <w:spacing w:line="34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二、投诉项目基本情况</w:t>
      </w:r>
    </w:p>
    <w:p>
      <w:pPr>
        <w:spacing w:line="348" w:lineRule="auto"/>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招标项目名称：</w:t>
      </w:r>
    </w:p>
    <w:p>
      <w:pPr>
        <w:spacing w:line="348"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招标项目编号：包号：</w:t>
      </w:r>
    </w:p>
    <w:p>
      <w:pPr>
        <w:spacing w:line="34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采购人名称：</w:t>
      </w:r>
    </w:p>
    <w:p>
      <w:pPr>
        <w:spacing w:line="348"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代理机构名称：</w:t>
      </w:r>
    </w:p>
    <w:p>
      <w:pPr>
        <w:spacing w:line="348" w:lineRule="auto"/>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招标文件公告:</w:t>
      </w:r>
      <w:r>
        <w:rPr>
          <w:rFonts w:hint="eastAsia" w:ascii="宋体" w:hAnsi="宋体" w:eastAsia="宋体" w:cs="宋体"/>
          <w:bCs/>
          <w:color w:val="auto"/>
          <w:szCs w:val="21"/>
          <w:highlight w:val="none"/>
          <w:u w:val="dotted"/>
        </w:rPr>
        <w:t xml:space="preserve">是/否 </w:t>
      </w:r>
      <w:r>
        <w:rPr>
          <w:rFonts w:hint="eastAsia" w:ascii="宋体" w:hAnsi="宋体" w:eastAsia="宋体" w:cs="宋体"/>
          <w:bCs/>
          <w:color w:val="auto"/>
          <w:szCs w:val="21"/>
          <w:highlight w:val="none"/>
        </w:rPr>
        <w:t>公告期限：</w:t>
      </w:r>
    </w:p>
    <w:p>
      <w:pPr>
        <w:spacing w:line="348"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招标结果公告:</w:t>
      </w:r>
      <w:r>
        <w:rPr>
          <w:rFonts w:hint="eastAsia" w:ascii="宋体" w:hAnsi="宋体" w:eastAsia="宋体" w:cs="宋体"/>
          <w:bCs/>
          <w:color w:val="auto"/>
          <w:szCs w:val="21"/>
          <w:highlight w:val="none"/>
          <w:u w:val="dotted"/>
        </w:rPr>
        <w:t xml:space="preserve">是/否 </w:t>
      </w:r>
      <w:r>
        <w:rPr>
          <w:rFonts w:hint="eastAsia" w:ascii="宋体" w:hAnsi="宋体" w:eastAsia="宋体" w:cs="宋体"/>
          <w:bCs/>
          <w:color w:val="auto"/>
          <w:szCs w:val="21"/>
          <w:highlight w:val="none"/>
        </w:rPr>
        <w:t>公告期限：</w:t>
      </w:r>
    </w:p>
    <w:p>
      <w:pPr>
        <w:spacing w:line="34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三、质疑基本情况</w:t>
      </w:r>
    </w:p>
    <w:p>
      <w:pPr>
        <w:spacing w:line="348" w:lineRule="auto"/>
        <w:ind w:firstLine="420" w:firstLineChars="200"/>
        <w:rPr>
          <w:rFonts w:hint="eastAsia" w:ascii="宋体" w:hAnsi="宋体" w:eastAsia="宋体" w:cs="宋体"/>
          <w:bCs/>
          <w:color w:val="auto"/>
          <w:szCs w:val="21"/>
          <w:highlight w:val="none"/>
          <w:u w:val="dotted"/>
        </w:rPr>
      </w:pPr>
      <w:r>
        <w:rPr>
          <w:rFonts w:hint="eastAsia" w:ascii="宋体" w:hAnsi="宋体" w:eastAsia="宋体" w:cs="宋体"/>
          <w:bCs/>
          <w:color w:val="auto"/>
          <w:szCs w:val="21"/>
          <w:highlight w:val="none"/>
        </w:rPr>
        <w:t>投诉人于年月日,向提出质疑，质疑事项为：</w:t>
      </w:r>
    </w:p>
    <w:p>
      <w:pPr>
        <w:spacing w:line="34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dotted"/>
        </w:rPr>
        <w:t>采购人/代理机构</w:t>
      </w:r>
      <w:r>
        <w:rPr>
          <w:rFonts w:hint="eastAsia" w:ascii="宋体" w:hAnsi="宋体" w:eastAsia="宋体" w:cs="宋体"/>
          <w:bCs/>
          <w:color w:val="auto"/>
          <w:szCs w:val="21"/>
          <w:highlight w:val="none"/>
        </w:rPr>
        <w:t>于年月日,就质疑事项作出了答复/没有在法定期限内作出答复。</w:t>
      </w:r>
    </w:p>
    <w:p>
      <w:pPr>
        <w:spacing w:line="34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四、投诉事项具体内容</w:t>
      </w:r>
    </w:p>
    <w:p>
      <w:pPr>
        <w:spacing w:line="348"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投诉事项 1：</w:t>
      </w:r>
    </w:p>
    <w:p>
      <w:pPr>
        <w:spacing w:line="34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事实依据：</w:t>
      </w:r>
    </w:p>
    <w:p>
      <w:pPr>
        <w:spacing w:line="348"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法律依据：</w:t>
      </w:r>
    </w:p>
    <w:p>
      <w:pPr>
        <w:spacing w:line="34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投诉事项2……</w:t>
      </w:r>
    </w:p>
    <w:p>
      <w:pPr>
        <w:spacing w:line="34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五、与投诉事项相关的投诉请求</w:t>
      </w:r>
    </w:p>
    <w:p>
      <w:pPr>
        <w:spacing w:line="34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请求：</w:t>
      </w:r>
    </w:p>
    <w:p>
      <w:pPr>
        <w:spacing w:line="34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签字(签章)：                   公章：                      </w:t>
      </w:r>
    </w:p>
    <w:p>
      <w:pPr>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Cs w:val="21"/>
          <w:highlight w:val="none"/>
        </w:rPr>
        <w:t xml:space="preserve">日期： </w:t>
      </w:r>
      <w:r>
        <w:rPr>
          <w:rFonts w:hint="eastAsia" w:ascii="宋体" w:hAnsi="宋体" w:eastAsia="宋体" w:cs="宋体"/>
          <w:bCs/>
          <w:color w:val="auto"/>
          <w:sz w:val="32"/>
          <w:szCs w:val="32"/>
          <w:highlight w:val="none"/>
        </w:rPr>
        <w:br w:type="page"/>
      </w:r>
    </w:p>
    <w:p>
      <w:pPr>
        <w:snapToGrid w:val="0"/>
        <w:spacing w:after="120" w:afterLines="50"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投诉书制作说明：</w:t>
      </w:r>
    </w:p>
    <w:p>
      <w:pPr>
        <w:snapToGrid w:val="0"/>
        <w:spacing w:after="120" w:afterLines="50"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1.投诉人提起投诉时，应当提交投诉书和必要的证明材料，并按照被投诉人和与投诉事项有关的投标单位数量提供投诉书副本。</w:t>
      </w:r>
    </w:p>
    <w:p>
      <w:pPr>
        <w:snapToGrid w:val="0"/>
        <w:spacing w:after="120" w:afterLines="50"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napToGrid w:val="0"/>
        <w:spacing w:after="120" w:afterLines="50"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3.投诉人若对项目的某一分包进行投诉，投诉书应列明具体分包号。</w:t>
      </w:r>
    </w:p>
    <w:p>
      <w:pPr>
        <w:snapToGrid w:val="0"/>
        <w:spacing w:after="120" w:afterLines="50"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4.投诉书应简要列明质疑事项，质疑函、质疑答复等作为附件材料提供。</w:t>
      </w:r>
    </w:p>
    <w:p>
      <w:pPr>
        <w:snapToGrid w:val="0"/>
        <w:spacing w:after="120" w:afterLines="50"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5.投诉书的投诉事项应具体、明确，并有必要的事实依据和法律依据。</w:t>
      </w:r>
    </w:p>
    <w:p>
      <w:pPr>
        <w:snapToGrid w:val="0"/>
        <w:spacing w:after="120" w:afterLines="50"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6.投诉书的投诉请求应与投诉事项相关。</w:t>
      </w:r>
    </w:p>
    <w:p>
      <w:pPr>
        <w:snapToGrid w:val="0"/>
        <w:spacing w:after="120" w:afterLines="50"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7.投诉人为自然人的，投诉书应当由本人签字；投诉人为法定代表人或者其他组织的，投诉书应当由法定代表人、主要负责人，或者其授权代表签字或者盖章，并加盖公章。</w:t>
      </w:r>
    </w:p>
    <w:p>
      <w:pPr>
        <w:spacing w:line="360" w:lineRule="auto"/>
        <w:rPr>
          <w:rFonts w:hint="eastAsia" w:ascii="宋体" w:hAnsi="宋体" w:eastAsia="宋体" w:cs="宋体"/>
          <w:bCs/>
          <w:color w:val="auto"/>
          <w:sz w:val="32"/>
          <w:szCs w:val="32"/>
          <w:highlight w:val="none"/>
        </w:rPr>
      </w:pPr>
    </w:p>
    <w:p>
      <w:pPr>
        <w:spacing w:line="312" w:lineRule="auto"/>
        <w:ind w:left="140"/>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pStyle w:val="3"/>
        <w:numPr>
          <w:ilvl w:val="0"/>
          <w:numId w:val="4"/>
        </w:numPr>
        <w:spacing w:line="312" w:lineRule="auto"/>
        <w:jc w:val="center"/>
        <w:rPr>
          <w:rFonts w:hint="eastAsia" w:ascii="宋体" w:hAnsi="宋体" w:eastAsia="宋体" w:cs="宋体"/>
          <w:color w:val="auto"/>
          <w:sz w:val="36"/>
          <w:szCs w:val="36"/>
          <w:highlight w:val="none"/>
        </w:rPr>
      </w:pPr>
      <w:bookmarkStart w:id="2" w:name="_Toc26628"/>
      <w:r>
        <w:rPr>
          <w:rFonts w:hint="eastAsia" w:ascii="宋体" w:hAnsi="宋体" w:eastAsia="宋体" w:cs="宋体"/>
          <w:color w:val="auto"/>
          <w:sz w:val="36"/>
          <w:szCs w:val="36"/>
          <w:highlight w:val="none"/>
        </w:rPr>
        <w:t>评标办法（综合评分法）</w:t>
      </w:r>
      <w:bookmarkEnd w:id="2"/>
    </w:p>
    <w:p>
      <w:pPr>
        <w:pStyle w:val="4"/>
        <w:spacing w:before="0" w:after="0" w:line="360" w:lineRule="auto"/>
        <w:jc w:val="center"/>
        <w:rPr>
          <w:rFonts w:hint="eastAsia" w:ascii="宋体" w:hAnsi="宋体" w:eastAsia="宋体" w:cs="宋体"/>
          <w:bCs w:val="0"/>
          <w:color w:val="auto"/>
          <w:sz w:val="28"/>
          <w:szCs w:val="28"/>
          <w:highlight w:val="none"/>
        </w:rPr>
      </w:pPr>
      <w:bookmarkStart w:id="3" w:name="_Toc23129"/>
      <w:bookmarkStart w:id="4" w:name="_Toc28630"/>
      <w:r>
        <w:rPr>
          <w:rFonts w:hint="eastAsia" w:ascii="宋体" w:hAnsi="宋体" w:eastAsia="宋体" w:cs="宋体"/>
          <w:bCs w:val="0"/>
          <w:color w:val="auto"/>
          <w:sz w:val="28"/>
          <w:szCs w:val="28"/>
          <w:highlight w:val="none"/>
        </w:rPr>
        <w:t>资格审查表</w:t>
      </w:r>
      <w:bookmarkEnd w:id="3"/>
    </w:p>
    <w:tbl>
      <w:tblPr>
        <w:tblStyle w:val="28"/>
        <w:tblW w:w="548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72"/>
        <w:gridCol w:w="2660"/>
        <w:gridCol w:w="6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tblHeader/>
          <w:jc w:val="center"/>
        </w:trPr>
        <w:tc>
          <w:tcPr>
            <w:tcW w:w="555" w:type="pct"/>
            <w:tcBorders>
              <w:bottom w:val="single" w:color="auto" w:sz="4" w:space="0"/>
              <w:right w:val="single" w:color="auto" w:sz="4" w:space="0"/>
            </w:tcBorders>
            <w:vAlign w:val="center"/>
          </w:tcPr>
          <w:p>
            <w:pPr>
              <w:spacing w:before="120" w:beforeLines="50" w:after="120"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w:t>
            </w:r>
          </w:p>
        </w:tc>
        <w:tc>
          <w:tcPr>
            <w:tcW w:w="1259" w:type="pct"/>
            <w:tcBorders>
              <w:left w:val="single" w:color="auto" w:sz="4" w:space="0"/>
              <w:bottom w:val="single" w:color="auto" w:sz="4" w:space="0"/>
              <w:right w:val="single" w:color="auto" w:sz="4" w:space="0"/>
            </w:tcBorders>
            <w:vAlign w:val="center"/>
          </w:tcPr>
          <w:p>
            <w:pPr>
              <w:spacing w:before="120" w:beforeLines="50" w:after="120"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3186" w:type="pct"/>
            <w:tcBorders>
              <w:left w:val="single" w:color="auto" w:sz="4" w:space="0"/>
              <w:bottom w:val="single" w:color="auto" w:sz="4" w:space="0"/>
            </w:tcBorders>
            <w:vAlign w:val="center"/>
          </w:tcPr>
          <w:p>
            <w:pPr>
              <w:spacing w:before="120" w:beforeLines="50" w:after="120"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8" w:hRule="atLeast"/>
          <w:jc w:val="center"/>
        </w:trPr>
        <w:tc>
          <w:tcPr>
            <w:tcW w:w="555" w:type="pct"/>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1259" w:type="pc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3186" w:type="pct"/>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在中华人民共和国境内注册，有能力提供相应产品和服务</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投标文件内附营业执照副本复印件加盖单位公章。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8" w:hRule="atLeast"/>
          <w:jc w:val="center"/>
        </w:trPr>
        <w:tc>
          <w:tcPr>
            <w:tcW w:w="555" w:type="pct"/>
            <w:vMerge w:val="continue"/>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2660" w:type="dxa"/>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授权书</w:t>
            </w:r>
          </w:p>
        </w:tc>
        <w:tc>
          <w:tcPr>
            <w:tcW w:w="6731" w:type="dxa"/>
            <w:tcBorders>
              <w:top w:val="single" w:color="auto" w:sz="4" w:space="0"/>
              <w:left w:val="single" w:color="auto" w:sz="4" w:space="0"/>
              <w:bottom w:val="single" w:color="auto" w:sz="4" w:space="0"/>
            </w:tcBorders>
            <w:vAlign w:val="center"/>
          </w:tcPr>
          <w:p>
            <w:pPr>
              <w:spacing w:line="312"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若代理商投标，必须具有所投产品生产厂家出具的有效授权或同等效力证明；若经销商投标，必须具有所投产品生产厂家针对代理商的有效授权或同等效力证明及该代理商对投标经销商的有效授权。</w:t>
            </w:r>
          </w:p>
          <w:p>
            <w:pPr>
              <w:spacing w:line="312"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投标文件内附授权书</w:t>
            </w:r>
            <w:r>
              <w:rPr>
                <w:rFonts w:hint="eastAsia" w:ascii="宋体" w:hAnsi="宋体" w:eastAsia="宋体" w:cs="宋体"/>
                <w:bCs/>
                <w:color w:val="auto"/>
                <w:kern w:val="44"/>
                <w:szCs w:val="21"/>
                <w:highlight w:val="none"/>
              </w:rPr>
              <w:t>或同等效力证明</w:t>
            </w:r>
            <w:r>
              <w:rPr>
                <w:rFonts w:hint="eastAsia" w:ascii="宋体" w:hAnsi="宋体" w:eastAsia="宋体" w:cs="宋体"/>
                <w:bCs/>
                <w:color w:val="auto"/>
                <w:szCs w:val="21"/>
                <w:highlight w:val="none"/>
                <w:lang w:val="zh-CN"/>
              </w:rPr>
              <w:t>复印件加盖单位公章。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555" w:type="pct"/>
            <w:vMerge w:val="continue"/>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59" w:type="pc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授权委托书（如有委托代理人）</w:t>
            </w:r>
          </w:p>
        </w:tc>
        <w:tc>
          <w:tcPr>
            <w:tcW w:w="3186" w:type="pct"/>
            <w:tcBorders>
              <w:top w:val="single" w:color="auto" w:sz="4" w:space="0"/>
              <w:left w:val="single" w:color="auto" w:sz="4" w:space="0"/>
              <w:bottom w:val="single" w:color="auto" w:sz="4" w:space="0"/>
            </w:tcBorders>
            <w:vAlign w:val="center"/>
          </w:tcPr>
          <w:p>
            <w:pPr>
              <w:pStyle w:val="10"/>
              <w:spacing w:after="0" w:line="360" w:lineRule="auto"/>
              <w:rPr>
                <w:rFonts w:hint="eastAsia" w:ascii="宋体" w:hAnsi="宋体" w:eastAsia="宋体" w:cs="宋体"/>
                <w:color w:val="auto"/>
                <w:highlight w:val="none"/>
              </w:rPr>
            </w:pPr>
            <w:r>
              <w:rPr>
                <w:rFonts w:hint="eastAsia" w:ascii="宋体" w:hAnsi="宋体" w:eastAsia="宋体" w:cs="宋体"/>
                <w:bCs/>
                <w:color w:val="auto"/>
                <w:szCs w:val="21"/>
                <w:highlight w:val="none"/>
              </w:rPr>
              <w:t>提供由法定代表人及委托代理人签字并加盖公章的授权书原件，且投标文件内附加盖公章的等同材料。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555" w:type="pct"/>
            <w:vMerge w:val="continue"/>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2660" w:type="dxa"/>
            <w:tcBorders>
              <w:top w:val="single" w:color="auto" w:sz="4" w:space="0"/>
              <w:left w:val="single" w:color="auto" w:sz="4" w:space="0"/>
              <w:right w:val="single" w:color="auto" w:sz="4" w:space="0"/>
            </w:tcBorders>
            <w:vAlign w:val="center"/>
          </w:tcPr>
          <w:p>
            <w:pPr>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财务要求</w:t>
            </w:r>
          </w:p>
        </w:tc>
        <w:tc>
          <w:tcPr>
            <w:tcW w:w="6731" w:type="dxa"/>
            <w:tcBorders>
              <w:top w:val="single" w:color="auto" w:sz="4" w:space="0"/>
              <w:left w:val="single" w:color="auto" w:sz="4" w:space="0"/>
              <w:bottom w:val="single" w:color="auto" w:sz="4" w:space="0"/>
            </w:tcBorders>
            <w:vAlign w:val="center"/>
          </w:tcPr>
          <w:p>
            <w:pPr>
              <w:spacing w:line="360" w:lineRule="auto"/>
              <w:textAlignment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近三年（2019年、2020年、2021年）财务状况良好，具有经会计师事务所或者审计机构审计的财务审计报告</w:t>
            </w:r>
            <w:r>
              <w:rPr>
                <w:rFonts w:hint="eastAsia" w:ascii="宋体" w:hAnsi="宋体" w:eastAsia="宋体" w:cs="宋体"/>
                <w:color w:val="auto"/>
                <w:highlight w:val="none"/>
              </w:rPr>
              <w:t>或具有基本账户开户银行出具的资信证明（须于2022年出具）</w:t>
            </w:r>
            <w:r>
              <w:rPr>
                <w:rFonts w:hint="eastAsia" w:ascii="宋体" w:hAnsi="宋体" w:eastAsia="宋体" w:cs="宋体"/>
                <w:color w:val="auto"/>
                <w:szCs w:val="21"/>
                <w:highlight w:val="none"/>
              </w:rPr>
              <w:t>。（成立年限不足三年的提供成立之日起到2021年度的审计报告即可；2021年成立至2022年1月1日不足1年或2022年成立的公司提供加盖公章的财务报表即可）（投标文件内附</w:t>
            </w:r>
            <w:r>
              <w:rPr>
                <w:rFonts w:hint="eastAsia" w:ascii="宋体" w:hAnsi="宋体" w:eastAsia="宋体" w:cs="宋体"/>
                <w:color w:val="auto"/>
                <w:szCs w:val="21"/>
                <w:highlight w:val="none"/>
                <w:lang w:val="zh-CN"/>
              </w:rPr>
              <w:t>财务审计报告</w:t>
            </w:r>
            <w:r>
              <w:rPr>
                <w:rFonts w:hint="eastAsia" w:ascii="宋体" w:hAnsi="宋体" w:eastAsia="宋体" w:cs="宋体"/>
                <w:color w:val="auto"/>
                <w:highlight w:val="none"/>
              </w:rPr>
              <w:t>资信证明</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复印件加盖单位公章）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0" w:hRule="atLeast"/>
          <w:jc w:val="center"/>
        </w:trPr>
        <w:tc>
          <w:tcPr>
            <w:tcW w:w="555" w:type="pct"/>
            <w:vMerge w:val="continue"/>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59" w:type="pc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社保及纳税证明</w:t>
            </w:r>
          </w:p>
        </w:tc>
        <w:tc>
          <w:tcPr>
            <w:tcW w:w="3186" w:type="pct"/>
            <w:tcBorders>
              <w:top w:val="single" w:color="auto" w:sz="4" w:space="0"/>
              <w:left w:val="single" w:color="auto" w:sz="4" w:space="0"/>
              <w:bottom w:val="single" w:color="auto" w:sz="4" w:space="0"/>
            </w:tcBorders>
            <w:vAlign w:val="center"/>
          </w:tcPr>
          <w:p>
            <w:pPr>
              <w:pStyle w:val="10"/>
              <w:spacing w:line="360" w:lineRule="auto"/>
              <w:rPr>
                <w:rFonts w:hint="eastAsia" w:ascii="宋体" w:hAnsi="宋体" w:eastAsia="宋体" w:cs="宋体"/>
                <w:color w:val="auto"/>
                <w:highlight w:val="none"/>
              </w:rPr>
            </w:pPr>
            <w:r>
              <w:rPr>
                <w:rFonts w:hint="eastAsia" w:ascii="宋体" w:hAnsi="宋体" w:eastAsia="宋体" w:cs="宋体"/>
                <w:bCs/>
                <w:color w:val="auto"/>
                <w:kern w:val="44"/>
                <w:szCs w:val="21"/>
                <w:highlight w:val="none"/>
              </w:rPr>
              <w:t>提供近一年（</w:t>
            </w:r>
            <w:r>
              <w:rPr>
                <w:rFonts w:hint="eastAsia" w:ascii="宋体" w:hAnsi="宋体" w:eastAsia="宋体" w:cs="宋体"/>
                <w:bCs/>
                <w:color w:val="auto"/>
                <w:kern w:val="44"/>
                <w:szCs w:val="21"/>
                <w:highlight w:val="none"/>
                <w:lang w:eastAsia="zh-CN"/>
              </w:rPr>
              <w:t>2021年11月1日至2022年10月31日</w:t>
            </w:r>
            <w:r>
              <w:rPr>
                <w:rFonts w:hint="eastAsia" w:ascii="宋体" w:hAnsi="宋体" w:eastAsia="宋体" w:cs="宋体"/>
                <w:bCs/>
                <w:color w:val="auto"/>
                <w:kern w:val="44"/>
                <w:szCs w:val="21"/>
                <w:highlight w:val="none"/>
              </w:rPr>
              <w:t>）任意一个月的缴纳社保证明、纳税证明材料</w:t>
            </w:r>
            <w:r>
              <w:rPr>
                <w:rFonts w:hint="eastAsia" w:ascii="宋体" w:hAnsi="宋体" w:eastAsia="宋体" w:cs="宋体"/>
                <w:bCs/>
                <w:color w:val="auto"/>
                <w:szCs w:val="21"/>
                <w:highlight w:val="none"/>
              </w:rPr>
              <w:t>。（依法免税或不需要缴纳社会保障资金的投标人，应提供相应证明文件证明其依法免税或不需要缴纳社会保险资金）（投标文件内附加盖公章的等同材料）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6" w:hRule="atLeast"/>
          <w:jc w:val="center"/>
        </w:trPr>
        <w:tc>
          <w:tcPr>
            <w:tcW w:w="555" w:type="pct"/>
            <w:vMerge w:val="continue"/>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5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符合政府采购法第二十二条规定</w:t>
            </w:r>
          </w:p>
        </w:tc>
        <w:tc>
          <w:tcPr>
            <w:tcW w:w="3186" w:type="pct"/>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投标文件内附由法定代表人或委托代理人签字或盖章并加盖单位公章的承诺函。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5" w:hRule="atLeast"/>
          <w:jc w:val="center"/>
        </w:trPr>
        <w:tc>
          <w:tcPr>
            <w:tcW w:w="555" w:type="pct"/>
            <w:vMerge w:val="continue"/>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59" w:type="pct"/>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信誉要求</w:t>
            </w:r>
          </w:p>
        </w:tc>
        <w:tc>
          <w:tcPr>
            <w:tcW w:w="3186" w:type="pct"/>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未被列入信用中国网</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val="zh-CN"/>
              </w:rPr>
              <w:t>渠道信用记录失信被执行人、重大税收违法案件当事人名单</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即</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税收违法黑名单</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未被列入中国政府采购网</w:t>
            </w:r>
            <w:r>
              <w:rPr>
                <w:rFonts w:hint="eastAsia" w:ascii="宋体" w:hAnsi="宋体" w:eastAsia="宋体" w:cs="宋体"/>
                <w:color w:val="auto"/>
                <w:szCs w:val="21"/>
                <w:highlight w:val="none"/>
              </w:rPr>
              <w:t>（http://www.ccgp.gov.cn）</w:t>
            </w:r>
            <w:r>
              <w:rPr>
                <w:rFonts w:hint="eastAsia" w:ascii="宋体" w:hAnsi="宋体" w:eastAsia="宋体" w:cs="宋体"/>
                <w:color w:val="auto"/>
                <w:szCs w:val="21"/>
                <w:highlight w:val="none"/>
                <w:lang w:val="zh-CN"/>
              </w:rPr>
              <w:t>政府采购严重违法失信行为记录名单。</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zh-CN"/>
              </w:rPr>
              <w:t>代理机构出具查询结果</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6" w:hRule="atLeast"/>
          <w:jc w:val="center"/>
        </w:trPr>
        <w:tc>
          <w:tcPr>
            <w:tcW w:w="555" w:type="pct"/>
            <w:vMerge w:val="continue"/>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59" w:type="pct"/>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3186" w:type="pct"/>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中国裁判文书网</w:t>
            </w:r>
            <w:r>
              <w:rPr>
                <w:rFonts w:hint="eastAsia" w:ascii="宋体" w:hAnsi="宋体" w:eastAsia="宋体" w:cs="宋体"/>
                <w:color w:val="auto"/>
                <w:szCs w:val="21"/>
                <w:highlight w:val="none"/>
              </w:rPr>
              <w:t>（http://wenshu.court.gov.cn/）</w:t>
            </w:r>
            <w:r>
              <w:rPr>
                <w:rFonts w:hint="eastAsia" w:ascii="宋体" w:hAnsi="宋体" w:eastAsia="宋体" w:cs="宋体"/>
                <w:color w:val="auto"/>
                <w:szCs w:val="21"/>
                <w:highlight w:val="none"/>
                <w:lang w:val="zh-CN"/>
              </w:rPr>
              <w:t>中投标人近三年无行贿犯罪记录。（</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zh-CN"/>
              </w:rPr>
              <w:t>代理机构出具查询结果）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555" w:type="pct"/>
            <w:vMerge w:val="continue"/>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59" w:type="pct"/>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其他要求</w:t>
            </w:r>
          </w:p>
        </w:tc>
        <w:tc>
          <w:tcPr>
            <w:tcW w:w="3186" w:type="pct"/>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Cs w:val="21"/>
                <w:highlight w:val="none"/>
                <w:lang w:val="zh-CN"/>
              </w:rPr>
            </w:pPr>
            <w:r>
              <w:rPr>
                <w:rFonts w:hint="eastAsia" w:ascii="宋体" w:hAnsi="宋体" w:eastAsia="宋体" w:cs="宋体"/>
                <w:bCs/>
                <w:color w:val="auto"/>
                <w:kern w:val="44"/>
                <w:szCs w:val="21"/>
                <w:highlight w:val="none"/>
              </w:rPr>
              <w:t>1.与采购人存在利害关系可能影响招标公正性的法人、其他组织或者个人，不得参与本项目。单位负责人为同一人或者存在直接控股、管理关系的不同供应商，不得参加同一合同项下的采购活动。</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投标文件</w:t>
            </w:r>
            <w:r>
              <w:rPr>
                <w:rFonts w:hint="eastAsia" w:ascii="宋体" w:hAnsi="宋体" w:eastAsia="宋体" w:cs="宋体"/>
                <w:color w:val="auto"/>
                <w:szCs w:val="21"/>
                <w:highlight w:val="none"/>
                <w:lang w:val="zh-CN"/>
              </w:rPr>
              <w:t>内附由法定代表人或委托代理人签字或盖章并加盖公章的承诺书）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9" w:hRule="atLeast"/>
          <w:jc w:val="center"/>
        </w:trPr>
        <w:tc>
          <w:tcPr>
            <w:tcW w:w="555" w:type="pct"/>
            <w:vMerge w:val="continue"/>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59" w:type="pct"/>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3186" w:type="pct"/>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2.单位负责人为同一人或者存在控股、管理关系的不同单位，不得参加同一采购项目投标</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zh-CN"/>
              </w:rPr>
              <w:t>代理机构出具查询结果）。</w:t>
            </w:r>
          </w:p>
        </w:tc>
      </w:tr>
    </w:tbl>
    <w:p>
      <w:pPr>
        <w:autoSpaceDE w:val="0"/>
        <w:autoSpaceDN w:val="0"/>
        <w:adjustRightInd w:val="0"/>
        <w:spacing w:line="360" w:lineRule="auto"/>
        <w:ind w:hanging="7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注：</w:t>
      </w:r>
    </w:p>
    <w:p>
      <w:pPr>
        <w:autoSpaceDE w:val="0"/>
        <w:autoSpaceDN w:val="0"/>
        <w:adjustRightInd w:val="0"/>
        <w:spacing w:line="360" w:lineRule="auto"/>
        <w:ind w:hanging="7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1.采购人或采购代理机构按表中所列内容，结合投标人的投标文件及佐证材料进行审查，确定其是否“合格”或“不合格”，合格打“√”，不合格打“×”。</w:t>
      </w:r>
    </w:p>
    <w:p>
      <w:pPr>
        <w:autoSpaceDE w:val="0"/>
        <w:autoSpaceDN w:val="0"/>
        <w:adjustRightInd w:val="0"/>
        <w:spacing w:line="360" w:lineRule="auto"/>
        <w:ind w:hanging="7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2.审查内容有一项“不合格”的投标人，将不再进入后续评审。</w:t>
      </w:r>
    </w:p>
    <w:p>
      <w:pPr>
        <w:autoSpaceDE w:val="0"/>
        <w:autoSpaceDN w:val="0"/>
        <w:adjustRightInd w:val="0"/>
        <w:spacing w:line="360" w:lineRule="auto"/>
        <w:ind w:hanging="7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3.以上资格审查材料中要求提供加盖公章的材料，需单独密封提供放在原件袋中随投标文件一起递交。</w:t>
      </w:r>
    </w:p>
    <w:p>
      <w:pPr>
        <w:autoSpaceDE w:val="0"/>
        <w:autoSpaceDN w:val="0"/>
        <w:adjustRightInd w:val="0"/>
        <w:spacing w:line="360" w:lineRule="auto"/>
        <w:ind w:hanging="7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val="zh-CN"/>
        </w:rPr>
        <w:t>上述审查内容</w:t>
      </w:r>
      <w:r>
        <w:rPr>
          <w:rFonts w:hint="eastAsia" w:ascii="宋体" w:hAnsi="宋体" w:eastAsia="宋体" w:cs="宋体"/>
          <w:bCs/>
          <w:color w:val="auto"/>
          <w:szCs w:val="21"/>
          <w:highlight w:val="none"/>
        </w:rPr>
        <w:t>如需</w:t>
      </w:r>
      <w:r>
        <w:rPr>
          <w:rFonts w:hint="eastAsia" w:ascii="宋体" w:hAnsi="宋体" w:eastAsia="宋体" w:cs="宋体"/>
          <w:bCs/>
          <w:color w:val="auto"/>
          <w:szCs w:val="21"/>
          <w:highlight w:val="none"/>
          <w:lang w:val="zh-CN"/>
        </w:rPr>
        <w:t>核验原件，如某一证件正在年检或换证，需年检或换证部门出具有效证明方可确认。</w:t>
      </w:r>
    </w:p>
    <w:p>
      <w:pPr>
        <w:rPr>
          <w:rFonts w:hint="eastAsia" w:ascii="宋体" w:hAnsi="宋体" w:eastAsia="宋体" w:cs="宋体"/>
          <w:bCs/>
          <w:color w:val="auto"/>
          <w:sz w:val="28"/>
          <w:szCs w:val="28"/>
          <w:highlight w:val="none"/>
        </w:rPr>
      </w:pPr>
      <w:bookmarkStart w:id="5" w:name="_Toc25408"/>
      <w:r>
        <w:rPr>
          <w:rFonts w:hint="eastAsia" w:ascii="宋体" w:hAnsi="宋体" w:eastAsia="宋体" w:cs="宋体"/>
          <w:bCs/>
          <w:color w:val="auto"/>
          <w:sz w:val="28"/>
          <w:szCs w:val="28"/>
          <w:highlight w:val="none"/>
        </w:rPr>
        <w:br w:type="page"/>
      </w:r>
    </w:p>
    <w:p>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符合性审查表</w:t>
      </w:r>
      <w:bookmarkEnd w:id="5"/>
    </w:p>
    <w:tbl>
      <w:tblPr>
        <w:tblStyle w:val="2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68"/>
        <w:gridCol w:w="2431"/>
        <w:gridCol w:w="6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1068" w:type="dxa"/>
            <w:tcBorders>
              <w:top w:val="single" w:color="auto" w:sz="4" w:space="0"/>
              <w:right w:val="single" w:color="auto" w:sz="4" w:space="0"/>
            </w:tcBorders>
            <w:vAlign w:val="center"/>
          </w:tcPr>
          <w:p>
            <w:pPr>
              <w:spacing w:before="120" w:beforeLines="50" w:after="120"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6123" w:type="dxa"/>
            <w:tcBorders>
              <w:top w:val="single" w:color="auto" w:sz="4" w:space="0"/>
              <w:left w:val="single" w:color="auto" w:sz="4" w:space="0"/>
              <w:bottom w:val="single" w:color="auto" w:sz="4" w:space="0"/>
            </w:tcBorders>
            <w:vAlign w:val="center"/>
          </w:tcPr>
          <w:p>
            <w:pPr>
              <w:spacing w:before="120" w:beforeLines="50" w:after="120"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trPr>
        <w:tc>
          <w:tcPr>
            <w:tcW w:w="1068"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形式评审标准</w:t>
            </w:r>
          </w:p>
        </w:tc>
        <w:tc>
          <w:tcPr>
            <w:tcW w:w="2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6123"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1068" w:type="dxa"/>
            <w:vMerge w:val="continue"/>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2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投标函签字盖章</w:t>
            </w:r>
          </w:p>
        </w:tc>
        <w:tc>
          <w:tcPr>
            <w:tcW w:w="6123"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有法定代表人或其委托代理人签字或加盖单位公章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7" w:hRule="atLeast"/>
        </w:trPr>
        <w:tc>
          <w:tcPr>
            <w:tcW w:w="1068" w:type="dxa"/>
            <w:vMerge w:val="continue"/>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2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投标文件内容及格式要求</w:t>
            </w:r>
          </w:p>
        </w:tc>
        <w:tc>
          <w:tcPr>
            <w:tcW w:w="6123"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符合第六章“投标文件格式”要求。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trPr>
        <w:tc>
          <w:tcPr>
            <w:tcW w:w="1068" w:type="dxa"/>
            <w:vMerge w:val="continue"/>
            <w:tcBorders>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2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报价唯一</w:t>
            </w:r>
          </w:p>
        </w:tc>
        <w:tc>
          <w:tcPr>
            <w:tcW w:w="6123"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trPr>
        <w:tc>
          <w:tcPr>
            <w:tcW w:w="1068" w:type="dxa"/>
            <w:vMerge w:val="restart"/>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响应性评审标准</w:t>
            </w:r>
          </w:p>
        </w:tc>
        <w:tc>
          <w:tcPr>
            <w:tcW w:w="2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投标响应内容</w:t>
            </w:r>
          </w:p>
        </w:tc>
        <w:tc>
          <w:tcPr>
            <w:tcW w:w="6123"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7" w:hRule="atLeast"/>
        </w:trPr>
        <w:tc>
          <w:tcPr>
            <w:tcW w:w="1068" w:type="dxa"/>
            <w:vMerge w:val="continue"/>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2431" w:type="dxa"/>
            <w:tcBorders>
              <w:top w:val="single" w:color="auto" w:sz="4" w:space="0"/>
              <w:left w:val="single" w:color="auto" w:sz="4" w:space="0"/>
              <w:right w:val="single" w:color="auto" w:sz="4" w:space="0"/>
            </w:tcBorders>
            <w:vAlign w:val="center"/>
          </w:tcPr>
          <w:p>
            <w:pPr>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供货期</w:t>
            </w:r>
          </w:p>
        </w:tc>
        <w:tc>
          <w:tcPr>
            <w:tcW w:w="6123" w:type="dxa"/>
            <w:tcBorders>
              <w:top w:val="single" w:color="auto" w:sz="4" w:space="0"/>
              <w:left w:val="single" w:color="auto" w:sz="4" w:space="0"/>
              <w:bottom w:val="single" w:color="auto" w:sz="4" w:space="0"/>
            </w:tcBorders>
            <w:vAlign w:val="center"/>
          </w:tcPr>
          <w:p>
            <w:pPr>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7" w:hRule="atLeast"/>
        </w:trPr>
        <w:tc>
          <w:tcPr>
            <w:tcW w:w="1068" w:type="dxa"/>
            <w:vMerge w:val="continue"/>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2431" w:type="dxa"/>
            <w:tcBorders>
              <w:top w:val="single" w:color="auto" w:sz="4" w:space="0"/>
              <w:left w:val="single" w:color="auto" w:sz="4" w:space="0"/>
              <w:right w:val="single" w:color="auto" w:sz="4" w:space="0"/>
            </w:tcBorders>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p>
        </w:tc>
        <w:tc>
          <w:tcPr>
            <w:tcW w:w="6123" w:type="dxa"/>
            <w:tcBorders>
              <w:top w:val="single" w:color="auto" w:sz="4" w:space="0"/>
              <w:left w:val="single" w:color="auto" w:sz="4" w:space="0"/>
              <w:bottom w:val="single" w:color="auto" w:sz="4" w:space="0"/>
            </w:tcBorders>
            <w:vAlign w:val="center"/>
          </w:tcPr>
          <w:p>
            <w:pPr>
              <w:widowControl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1068" w:type="dxa"/>
            <w:vMerge w:val="continue"/>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2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23"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068" w:type="dxa"/>
            <w:vMerge w:val="continue"/>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2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123"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前附表”规定，标书内附投标保证金缴纳凭证及基本账户开户许可证复印件并加盖投标人公章，以支票、汇票、本票、保函形式递交的须将投标保证金相关缴纳凭证原件随投标文件一同单独递交。注：基本账户开户许可取消后新开立基本账户的投标人，可以按照中国人民银行的相关文件规定提交银行打印的《基本存款账户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trPr>
        <w:tc>
          <w:tcPr>
            <w:tcW w:w="1068" w:type="dxa"/>
            <w:vMerge w:val="continue"/>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243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投标报价</w:t>
            </w:r>
          </w:p>
        </w:tc>
        <w:tc>
          <w:tcPr>
            <w:tcW w:w="6123" w:type="dxa"/>
            <w:tcBorders>
              <w:top w:val="single" w:color="auto" w:sz="4" w:space="0"/>
              <w:left w:val="single" w:color="auto" w:sz="4" w:space="0"/>
              <w:bottom w:val="single" w:color="auto" w:sz="4" w:space="0"/>
            </w:tcBorders>
            <w:vAlign w:val="center"/>
          </w:tcPr>
          <w:p>
            <w:pPr>
              <w:widowControl w:val="0"/>
              <w:adjustRightInd w:val="0"/>
              <w:snapToGrid w:val="0"/>
              <w:spacing w:before="60" w:beforeLines="25"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符合第二章“投标人须知前附表”规定，</w:t>
            </w:r>
            <w:r>
              <w:rPr>
                <w:rFonts w:hint="eastAsia" w:ascii="宋体" w:hAnsi="宋体" w:eastAsia="宋体" w:cs="宋体"/>
                <w:bCs/>
                <w:color w:val="auto"/>
                <w:szCs w:val="21"/>
                <w:highlight w:val="none"/>
              </w:rPr>
              <w:t>不超过采购预算。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trPr>
        <w:tc>
          <w:tcPr>
            <w:tcW w:w="1068" w:type="dxa"/>
            <w:vMerge w:val="continue"/>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243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项目需求</w:t>
            </w:r>
          </w:p>
        </w:tc>
        <w:tc>
          <w:tcPr>
            <w:tcW w:w="6123" w:type="dxa"/>
            <w:tcBorders>
              <w:top w:val="single" w:color="auto" w:sz="4" w:space="0"/>
              <w:left w:val="single" w:color="auto" w:sz="4" w:space="0"/>
              <w:bottom w:val="single" w:color="auto" w:sz="4" w:space="0"/>
            </w:tcBorders>
            <w:vAlign w:val="center"/>
          </w:tcPr>
          <w:p>
            <w:pPr>
              <w:widowControl w:val="0"/>
              <w:adjustRightInd w:val="0"/>
              <w:snapToGrid w:val="0"/>
              <w:spacing w:before="60" w:beforeLines="25"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▷指标，代表最关键指标，不满足该指标项将导致投标被否决。</w:t>
            </w:r>
            <w:r>
              <w:rPr>
                <w:rFonts w:hint="eastAsia" w:ascii="宋体" w:hAnsi="宋体" w:cs="宋体"/>
                <w:color w:val="auto"/>
                <w:szCs w:val="21"/>
                <w:highlight w:val="none"/>
                <w:lang w:val="en-US" w:eastAsia="zh-CN"/>
              </w:rPr>
              <w:t>标书内附</w:t>
            </w:r>
            <w:r>
              <w:rPr>
                <w:rFonts w:hint="eastAsia" w:ascii="宋体" w:hAnsi="宋体" w:eastAsia="宋体" w:cs="宋体"/>
                <w:color w:val="auto"/>
                <w:szCs w:val="21"/>
                <w:highlight w:val="none"/>
              </w:rPr>
              <w:t>所投</w:t>
            </w:r>
            <w:r>
              <w:rPr>
                <w:rFonts w:hint="eastAsia" w:ascii="宋体" w:hAnsi="宋体" w:cs="宋体"/>
                <w:color w:val="auto"/>
                <w:szCs w:val="21"/>
                <w:highlight w:val="none"/>
                <w:lang w:val="en-US" w:eastAsia="zh-CN"/>
              </w:rPr>
              <w:t>产品</w:t>
            </w:r>
            <w:r>
              <w:rPr>
                <w:rFonts w:hint="eastAsia" w:ascii="宋体" w:hAnsi="宋体" w:eastAsia="宋体" w:cs="宋体"/>
                <w:color w:val="auto"/>
                <w:szCs w:val="21"/>
                <w:highlight w:val="none"/>
              </w:rPr>
              <w:t>官方网站截图或技术指标文件或产品彩页</w:t>
            </w:r>
            <w:r>
              <w:rPr>
                <w:rFonts w:hint="eastAsia" w:ascii="宋体" w:hAnsi="宋体" w:cs="宋体"/>
                <w:color w:val="auto"/>
                <w:szCs w:val="21"/>
                <w:highlight w:val="none"/>
                <w:lang w:val="en-US" w:eastAsia="zh-CN"/>
              </w:rPr>
              <w:t>等有效证明材料</w:t>
            </w:r>
            <w:r>
              <w:rPr>
                <w:rFonts w:hint="eastAsia" w:ascii="宋体" w:hAnsi="宋体" w:eastAsia="宋体" w:cs="宋体"/>
                <w:color w:val="auto"/>
                <w:szCs w:val="21"/>
                <w:highlight w:val="none"/>
              </w:rPr>
              <w:t>，并加盖</w:t>
            </w:r>
            <w:r>
              <w:rPr>
                <w:rFonts w:hint="eastAsia" w:ascii="宋体" w:hAnsi="宋体" w:cs="宋体"/>
                <w:color w:val="auto"/>
                <w:szCs w:val="21"/>
                <w:highlight w:val="none"/>
                <w:lang w:val="en-US" w:eastAsia="zh-CN"/>
              </w:rPr>
              <w:t>生产厂家</w:t>
            </w:r>
            <w:r>
              <w:rPr>
                <w:rFonts w:hint="eastAsia" w:ascii="宋体" w:hAnsi="宋体" w:eastAsia="宋体" w:cs="宋体"/>
                <w:color w:val="auto"/>
                <w:szCs w:val="21"/>
                <w:highlight w:val="none"/>
              </w:rPr>
              <w:t>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trPr>
        <w:tc>
          <w:tcPr>
            <w:tcW w:w="1068" w:type="dxa"/>
            <w:vMerge w:val="continue"/>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243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运输方式</w:t>
            </w:r>
          </w:p>
        </w:tc>
        <w:tc>
          <w:tcPr>
            <w:tcW w:w="6123" w:type="dxa"/>
            <w:tcBorders>
              <w:top w:val="single" w:color="auto" w:sz="4" w:space="0"/>
              <w:left w:val="single" w:color="auto" w:sz="4" w:space="0"/>
              <w:bottom w:val="single" w:color="auto" w:sz="4" w:space="0"/>
            </w:tcBorders>
            <w:vAlign w:val="center"/>
          </w:tcPr>
          <w:p>
            <w:pPr>
              <w:widowControl w:val="0"/>
              <w:adjustRightInd w:val="0"/>
              <w:snapToGrid w:val="0"/>
              <w:spacing w:before="60" w:beforeLines="25"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1" w:hRule="atLeast"/>
        </w:trPr>
        <w:tc>
          <w:tcPr>
            <w:tcW w:w="1068" w:type="dxa"/>
            <w:vMerge w:val="continue"/>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2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123"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满足招标文件的其他实质性内容。</w:t>
            </w:r>
          </w:p>
        </w:tc>
      </w:tr>
      <w:bookmarkEnd w:id="4"/>
    </w:tbl>
    <w:p>
      <w:pPr>
        <w:spacing w:line="360" w:lineRule="auto"/>
        <w:rPr>
          <w:rFonts w:hint="eastAsia" w:ascii="宋体" w:hAnsi="宋体" w:eastAsia="宋体" w:cs="宋体"/>
          <w:bCs/>
          <w:color w:val="auto"/>
          <w:sz w:val="32"/>
          <w:highlight w:val="none"/>
        </w:rPr>
      </w:pPr>
      <w:bookmarkStart w:id="6" w:name="page42"/>
      <w:bookmarkEnd w:id="6"/>
      <w:r>
        <w:rPr>
          <w:rFonts w:hint="eastAsia" w:ascii="宋体" w:hAnsi="宋体" w:eastAsia="宋体" w:cs="宋体"/>
          <w:bCs/>
          <w:color w:val="auto"/>
          <w:sz w:val="32"/>
          <w:highlight w:val="none"/>
        </w:rPr>
        <w:br w:type="page"/>
      </w:r>
    </w:p>
    <w:p>
      <w:pPr>
        <w:autoSpaceDE w:val="0"/>
        <w:autoSpaceDN w:val="0"/>
        <w:adjustRightInd w:val="0"/>
        <w:spacing w:after="120" w:afterLines="50" w:line="360" w:lineRule="auto"/>
        <w:jc w:val="center"/>
        <w:rPr>
          <w:rFonts w:hint="eastAsia" w:ascii="宋体" w:hAnsi="宋体" w:eastAsia="宋体" w:cs="宋体"/>
          <w:bCs/>
          <w:color w:val="auto"/>
          <w:sz w:val="32"/>
          <w:highlight w:val="none"/>
        </w:rPr>
      </w:pPr>
      <w:r>
        <w:rPr>
          <w:rFonts w:hint="eastAsia" w:ascii="宋体" w:hAnsi="宋体" w:eastAsia="宋体" w:cs="宋体"/>
          <w:bCs/>
          <w:color w:val="auto"/>
          <w:sz w:val="32"/>
          <w:highlight w:val="none"/>
        </w:rPr>
        <w:t>详细评审表</w:t>
      </w:r>
    </w:p>
    <w:tbl>
      <w:tblPr>
        <w:tblStyle w:val="28"/>
        <w:tblW w:w="10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71"/>
        <w:gridCol w:w="745"/>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29" w:type="dxa"/>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1171" w:type="dxa"/>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745" w:type="dxa"/>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7649" w:type="dxa"/>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129" w:type="dxa"/>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价格部分（30分）</w:t>
            </w:r>
          </w:p>
        </w:tc>
        <w:tc>
          <w:tcPr>
            <w:tcW w:w="1171"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p>
          <w:p>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报价</w:t>
            </w:r>
          </w:p>
        </w:tc>
        <w:tc>
          <w:tcPr>
            <w:tcW w:w="745" w:type="dxa"/>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30分</w:t>
            </w:r>
          </w:p>
        </w:tc>
        <w:tc>
          <w:tcPr>
            <w:tcW w:w="7649" w:type="dxa"/>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评标基准价为所有通过初步评审合格的投标人有效投标报价中的最低报价，其价格分为满分。其他投标人的价格分统一按照下列公式计算：</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投标报价得分=（评标基准价/投标报价）*价格权重（0.30）*100，四舍五入保留小数点后两位有效数字。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29" w:type="dxa"/>
            <w:vMerge w:val="restart"/>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服务方案（20分）</w:t>
            </w:r>
          </w:p>
        </w:tc>
        <w:tc>
          <w:tcPr>
            <w:tcW w:w="1171"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类似业绩</w:t>
            </w:r>
          </w:p>
        </w:tc>
        <w:tc>
          <w:tcPr>
            <w:tcW w:w="745"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5分</w:t>
            </w:r>
          </w:p>
        </w:tc>
        <w:tc>
          <w:tcPr>
            <w:tcW w:w="7649" w:type="dxa"/>
            <w:vAlign w:val="center"/>
          </w:tcPr>
          <w:p>
            <w:pPr>
              <w:widowControl w:val="0"/>
              <w:numPr>
                <w:ilvl w:val="0"/>
                <w:numId w:val="0"/>
              </w:num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投标人提供2019</w:t>
            </w:r>
            <w:r>
              <w:rPr>
                <w:rFonts w:hint="eastAsia" w:ascii="宋体" w:hAnsi="宋体" w:eastAsia="宋体" w:cs="宋体"/>
                <w:color w:val="auto"/>
                <w:szCs w:val="21"/>
                <w:highlight w:val="none"/>
                <w:lang w:val="en-US" w:eastAsia="zh-CN"/>
              </w:rPr>
              <w:t>年1月1日</w:t>
            </w:r>
            <w:r>
              <w:rPr>
                <w:rFonts w:hint="eastAsia" w:ascii="宋体" w:hAnsi="宋体" w:eastAsia="宋体" w:cs="宋体"/>
                <w:color w:val="auto"/>
                <w:szCs w:val="21"/>
                <w:highlight w:val="none"/>
              </w:rPr>
              <w:t>至递交投标文件截止之日（以合同签订日期为准）同类业绩1份得1分，最高5分。</w:t>
            </w:r>
            <w:r>
              <w:rPr>
                <w:rFonts w:hint="eastAsia" w:ascii="宋体" w:hAnsi="宋体" w:eastAsia="宋体" w:cs="宋体"/>
                <w:b/>
                <w:bCs/>
                <w:color w:val="auto"/>
                <w:szCs w:val="21"/>
                <w:highlight w:val="none"/>
              </w:rPr>
              <w:t>标书内附合同复印件并加盖公章，否则业绩不得分。</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备注：提供合同关键页（含签订合同双方的单位名称、合同项目名称、采购内容与含签订合同双方的落款盖章、签订日期的关键页）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29" w:type="dxa"/>
            <w:vMerge w:val="continue"/>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color w:val="auto"/>
                <w:szCs w:val="21"/>
                <w:highlight w:val="none"/>
              </w:rPr>
            </w:pPr>
          </w:p>
        </w:tc>
        <w:tc>
          <w:tcPr>
            <w:tcW w:w="1171"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产品技术</w:t>
            </w:r>
          </w:p>
        </w:tc>
        <w:tc>
          <w:tcPr>
            <w:tcW w:w="745"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3分</w:t>
            </w:r>
          </w:p>
        </w:tc>
        <w:tc>
          <w:tcPr>
            <w:tcW w:w="7649" w:type="dxa"/>
            <w:vAlign w:val="center"/>
          </w:tcPr>
          <w:p>
            <w:pPr>
              <w:keepNext w:val="0"/>
              <w:keepLines w:val="0"/>
              <w:pageBreakBefore w:val="0"/>
              <w:widowControl w:val="0"/>
              <w:numPr>
                <w:ilvl w:val="0"/>
                <w:numId w:val="5"/>
              </w:numPr>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为保证设备的技术稳定性和成熟性，</w:t>
            </w:r>
            <w:r>
              <w:rPr>
                <w:rFonts w:hint="eastAsia" w:ascii="宋体" w:hAnsi="宋体" w:cs="宋体"/>
                <w:color w:val="auto"/>
                <w:szCs w:val="21"/>
                <w:highlight w:val="none"/>
                <w:lang w:val="en-US" w:eastAsia="zh-CN"/>
              </w:rPr>
              <w:t>所投产品生产厂家</w:t>
            </w:r>
            <w:r>
              <w:rPr>
                <w:rFonts w:hint="eastAsia" w:ascii="宋体" w:hAnsi="宋体" w:eastAsia="宋体" w:cs="宋体"/>
                <w:color w:val="auto"/>
                <w:szCs w:val="21"/>
                <w:highlight w:val="none"/>
              </w:rPr>
              <w:t>生产离子淌度QTOF 10年以上，标书内附网页上发布的新闻链接和截图并加盖投标人公章得1分，否则不得分。</w:t>
            </w:r>
          </w:p>
          <w:p>
            <w:pPr>
              <w:keepNext w:val="0"/>
              <w:keepLines w:val="0"/>
              <w:pageBreakBefore w:val="0"/>
              <w:widowControl w:val="0"/>
              <w:numPr>
                <w:ilvl w:val="0"/>
                <w:numId w:val="5"/>
              </w:numPr>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投标产品市场认可度：2019</w:t>
            </w:r>
            <w:r>
              <w:rPr>
                <w:rFonts w:hint="eastAsia" w:ascii="宋体" w:hAnsi="宋体" w:cs="宋体"/>
                <w:color w:val="auto"/>
                <w:szCs w:val="21"/>
                <w:highlight w:val="none"/>
                <w:lang w:val="en-US" w:eastAsia="zh-CN"/>
              </w:rPr>
              <w:t>年</w:t>
            </w:r>
            <w:r>
              <w:rPr>
                <w:rFonts w:hint="eastAsia" w:ascii="宋体" w:hAnsi="宋体" w:eastAsia="宋体" w:cs="宋体"/>
                <w:color w:val="auto"/>
                <w:szCs w:val="21"/>
                <w:highlight w:val="none"/>
              </w:rPr>
              <w:t>-2021年期间，所投品牌至少一次在第三方SDI调查报告中全球TOF市场占有率排列前三，提供对应市场占有率截图。标书内附截图并加盖投标人公章得1分，否则不得分。</w:t>
            </w:r>
          </w:p>
          <w:p>
            <w:pPr>
              <w:keepNext w:val="0"/>
              <w:keepLines w:val="0"/>
              <w:pageBreakBefore w:val="0"/>
              <w:widowControl w:val="0"/>
              <w:numPr>
                <w:ilvl w:val="0"/>
                <w:numId w:val="5"/>
              </w:numPr>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投标产品技术认可度：在ACS美国化学学会（</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"https://pubs.acs.org/journal/jacsat"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Journal of the American Chemical Society (acs.org)</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）文献全文检索，检索关键词采用所投型号，需提供所查询文献数的列表截图，列表的文章数量＞2000篇，标书内附截图并加盖投标人公章得1分，否则不得分。</w:t>
            </w:r>
          </w:p>
          <w:p>
            <w:pPr>
              <w:keepNext w:val="0"/>
              <w:keepLines w:val="0"/>
              <w:pageBreakBefore w:val="0"/>
              <w:widowControl w:val="0"/>
              <w:tabs>
                <w:tab w:val="left" w:pos="312"/>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(如评审现场查询情况与所提交截图不符，以现场查询结果为准)。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29" w:type="dxa"/>
            <w:vMerge w:val="continue"/>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color w:val="auto"/>
                <w:szCs w:val="21"/>
                <w:highlight w:val="none"/>
              </w:rPr>
            </w:pPr>
          </w:p>
        </w:tc>
        <w:tc>
          <w:tcPr>
            <w:tcW w:w="1171"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项目实施服务方案</w:t>
            </w:r>
          </w:p>
        </w:tc>
        <w:tc>
          <w:tcPr>
            <w:tcW w:w="745"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10分</w:t>
            </w:r>
          </w:p>
        </w:tc>
        <w:tc>
          <w:tcPr>
            <w:tcW w:w="7649" w:type="dxa"/>
            <w:vAlign w:val="center"/>
          </w:tcPr>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对投标人或所投产品生产厂家提供的项目实施服务方案进行综合评价（具体交货计划、安装调试方案、培训安排、服务计划、技术人员配备情况及响应程度、响应速度）</w:t>
            </w: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1、服务内容全面、表述清楚、合理可行得10分；</w:t>
            </w: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2、服务内容充分且基本可行得7分；</w:t>
            </w: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3、服务内容一般得2分；</w:t>
            </w: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未提供方案，或提供的方案与本项目内容存在脱节的不得分。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29" w:type="dxa"/>
            <w:vMerge w:val="continue"/>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color w:val="auto"/>
                <w:szCs w:val="21"/>
                <w:highlight w:val="none"/>
              </w:rPr>
            </w:pPr>
          </w:p>
        </w:tc>
        <w:tc>
          <w:tcPr>
            <w:tcW w:w="1171"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厂家售后</w:t>
            </w:r>
          </w:p>
        </w:tc>
        <w:tc>
          <w:tcPr>
            <w:tcW w:w="745"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w:t>
            </w:r>
          </w:p>
        </w:tc>
        <w:tc>
          <w:tcPr>
            <w:tcW w:w="7649" w:type="dxa"/>
            <w:vAlign w:val="center"/>
          </w:tcPr>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所投</w:t>
            </w:r>
            <w:r>
              <w:rPr>
                <w:rFonts w:hint="eastAsia" w:ascii="宋体" w:hAnsi="宋体" w:eastAsia="宋体" w:cs="宋体"/>
                <w:color w:val="auto"/>
                <w:szCs w:val="21"/>
                <w:highlight w:val="none"/>
              </w:rPr>
              <w:t>产品的生产厂家在项目所在地能够提供技术支持得2分，在东北其他地区能够提供技术支持的得1分，否则不给分。（</w:t>
            </w:r>
            <w:r>
              <w:rPr>
                <w:rFonts w:hint="eastAsia" w:ascii="宋体" w:hAnsi="宋体" w:cs="宋体"/>
                <w:color w:val="auto"/>
                <w:szCs w:val="21"/>
                <w:highlight w:val="none"/>
                <w:lang w:val="en-US" w:eastAsia="zh-CN"/>
              </w:rPr>
              <w:t>标书</w:t>
            </w:r>
            <w:r>
              <w:rPr>
                <w:rFonts w:hint="eastAsia" w:ascii="宋体" w:hAnsi="宋体" w:eastAsia="宋体" w:cs="宋体"/>
                <w:color w:val="auto"/>
                <w:szCs w:val="21"/>
                <w:highlight w:val="none"/>
              </w:rPr>
              <w:t>文件内附加盖公章的相应证明材料）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29" w:type="dxa"/>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技术部分（50分）</w:t>
            </w:r>
          </w:p>
        </w:tc>
        <w:tc>
          <w:tcPr>
            <w:tcW w:w="1171"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技术指标</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50分</w:t>
            </w:r>
          </w:p>
        </w:tc>
        <w:tc>
          <w:tcPr>
            <w:tcW w:w="7649" w:type="dxa"/>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以50分为基准分，技术规格要求中，★指标，</w:t>
            </w:r>
            <w:r>
              <w:rPr>
                <w:rFonts w:hint="eastAsia" w:ascii="宋体" w:hAnsi="宋体" w:cs="宋体"/>
                <w:color w:val="auto"/>
                <w:szCs w:val="21"/>
                <w:highlight w:val="none"/>
                <w:lang w:val="en-US" w:eastAsia="zh-CN"/>
              </w:rPr>
              <w:t>每有</w:t>
            </w:r>
            <w:r>
              <w:rPr>
                <w:rFonts w:hint="eastAsia" w:ascii="宋体" w:hAnsi="宋体" w:eastAsia="宋体" w:cs="宋体"/>
                <w:color w:val="auto"/>
                <w:szCs w:val="21"/>
                <w:highlight w:val="none"/>
              </w:rPr>
              <w:t>一项负偏离</w:t>
            </w:r>
            <w:r>
              <w:rPr>
                <w:rFonts w:hint="eastAsia" w:ascii="宋体" w:hAnsi="宋体" w:cs="宋体"/>
                <w:color w:val="auto"/>
                <w:szCs w:val="21"/>
                <w:highlight w:val="none"/>
                <w:lang w:val="en-US" w:eastAsia="zh-CN"/>
              </w:rPr>
              <w:t>扣</w:t>
            </w:r>
            <w:r>
              <w:rPr>
                <w:rFonts w:hint="eastAsia" w:ascii="宋体" w:hAnsi="宋体" w:eastAsia="宋体" w:cs="宋体"/>
                <w:color w:val="auto"/>
                <w:szCs w:val="21"/>
                <w:highlight w:val="none"/>
              </w:rPr>
              <w:t>3分，#指标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每有</w:t>
            </w:r>
            <w:r>
              <w:rPr>
                <w:rFonts w:hint="eastAsia" w:ascii="宋体" w:hAnsi="宋体" w:eastAsia="宋体" w:cs="宋体"/>
                <w:color w:val="auto"/>
                <w:szCs w:val="21"/>
                <w:highlight w:val="none"/>
              </w:rPr>
              <w:t>一项负偏离</w:t>
            </w:r>
            <w:r>
              <w:rPr>
                <w:rFonts w:hint="eastAsia" w:ascii="宋体" w:hAnsi="宋体" w:cs="宋体"/>
                <w:color w:val="auto"/>
                <w:szCs w:val="21"/>
                <w:highlight w:val="none"/>
                <w:lang w:val="en-US" w:eastAsia="zh-CN"/>
              </w:rPr>
              <w:t>扣</w:t>
            </w:r>
            <w:r>
              <w:rPr>
                <w:rFonts w:hint="eastAsia" w:ascii="宋体" w:hAnsi="宋体" w:eastAsia="宋体" w:cs="宋体"/>
                <w:color w:val="auto"/>
                <w:szCs w:val="21"/>
                <w:highlight w:val="none"/>
              </w:rPr>
              <w:t>2分，★或#指标正偏离不加分；不带★或#指标</w:t>
            </w:r>
            <w:r>
              <w:rPr>
                <w:rFonts w:hint="eastAsia" w:ascii="宋体" w:hAnsi="宋体" w:cs="宋体"/>
                <w:color w:val="auto"/>
                <w:szCs w:val="21"/>
                <w:highlight w:val="none"/>
                <w:lang w:val="en-US" w:eastAsia="zh-CN"/>
              </w:rPr>
              <w:t>每有</w:t>
            </w:r>
            <w:r>
              <w:rPr>
                <w:rFonts w:hint="eastAsia" w:ascii="宋体" w:hAnsi="宋体" w:eastAsia="宋体" w:cs="宋体"/>
                <w:color w:val="auto"/>
                <w:szCs w:val="21"/>
                <w:highlight w:val="none"/>
              </w:rPr>
              <w:t>一项负偏离</w:t>
            </w:r>
            <w:r>
              <w:rPr>
                <w:rFonts w:hint="eastAsia" w:ascii="宋体" w:hAnsi="宋体" w:cs="宋体"/>
                <w:color w:val="auto"/>
                <w:szCs w:val="21"/>
                <w:highlight w:val="none"/>
                <w:lang w:val="en-US" w:eastAsia="zh-CN"/>
              </w:rPr>
              <w:t>扣</w:t>
            </w:r>
            <w:r>
              <w:rPr>
                <w:rFonts w:hint="eastAsia" w:ascii="宋体" w:hAnsi="宋体" w:eastAsia="宋体" w:cs="宋体"/>
                <w:color w:val="auto"/>
                <w:szCs w:val="21"/>
                <w:highlight w:val="none"/>
              </w:rPr>
              <w:t>1分，不带★或#指标正偏离不加分。最高得分50分，最低得分0分。</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val="en-US" w:eastAsia="zh-CN"/>
              </w:rPr>
              <w:t>标书内附所投产品</w:t>
            </w:r>
            <w:r>
              <w:rPr>
                <w:rFonts w:hint="eastAsia" w:ascii="宋体" w:hAnsi="宋体" w:eastAsia="宋体" w:cs="宋体"/>
                <w:color w:val="auto"/>
                <w:szCs w:val="21"/>
                <w:highlight w:val="none"/>
              </w:rPr>
              <w:t>官方网站截图或技术指标文件或产品彩页，并加盖投标人公章，否则不得分。</w:t>
            </w:r>
          </w:p>
        </w:tc>
      </w:tr>
    </w:tbl>
    <w:p>
      <w:pPr>
        <w:spacing w:line="360" w:lineRule="auto"/>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 评标方法</w:t>
      </w:r>
    </w:p>
    <w:p>
      <w:pPr>
        <w:adjustRightInd w:val="0"/>
        <w:snapToGrid w:val="0"/>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次评标采用综合评分法。评标委员会对满足招标文件实质性要求的投标文件，按照本章第2.2款规定的评分标准进行打分，并按得分由高到低顺序推荐中标候选人，或根据采购人授权直接确定中标人，但投标报价低于其成本的除外。综合评分相等时，以投标报价低的优先；投标报价也相等的，以技术部分优者优先；技术部分得分也相等的，由采购人授权的评标委员会自行确定。</w:t>
      </w:r>
    </w:p>
    <w:p>
      <w:pPr>
        <w:adjustRightInd w:val="0"/>
        <w:snapToGrid w:val="0"/>
        <w:spacing w:line="312"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2.评审标准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2.1初步评审标准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2.1.1资格评审标准：见评标办法前附表。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2.1.2符合性评审标准：见评标办法前附表。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2.2评分标准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2.2.1价格部分评分标准：见评标办法前附表；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2.2.2服务方案评分标准：见评标办法前附表；</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2.2.3技术评分标准：见评标办法前附表。</w:t>
      </w:r>
    </w:p>
    <w:p>
      <w:pPr>
        <w:adjustRightInd w:val="0"/>
        <w:snapToGrid w:val="0"/>
        <w:spacing w:line="312"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3.评标程序</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3.1初步评审</w:t>
      </w:r>
    </w:p>
    <w:p>
      <w:pPr>
        <w:adjustRightInd w:val="0"/>
        <w:snapToGrid w:val="0"/>
        <w:spacing w:line="312" w:lineRule="auto"/>
        <w:ind w:right="-53" w:rightChars="-25"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3.1.1采购人或者采购代理机构依据本章第 2.1.1 款规定的标准对投标文件进行资格审查。有一项不符合评审标准的，采购人或者采购代理机构应当否决其投标。合格投标人不足3家的，不进入后续评标阶段。</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3.1.2评标委员会可以要求投标人提交第二章“投标人须知”规定的有关证明和证件的原件，以便核验。评标委员会依据本章第 2.1.2款规定的标准对投标文件进行符合性评审。有一项不符合评审标准的，评标委员会应当否决其投标。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3.1.3投标人有以下情形之一的，评标委员会应当否决其投标：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（1）投标文件没有对招标文件的实质性要求和条件作出响应，或者对招标文件的偏差超出招标文件规定的偏差范围或最高项数；</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（2）有串通投标、弄虚作假、行贿等违法行为。</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3.1.4投标报价有算术错误及其他错误的，评标委员会按以下原则要求投标人对投标报价进行修正，并要求投标人书面澄清确认。投标人拒不澄清确认的，评标委员会应当否决其投标：</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1.投标文件报价出现前后不一致的，按照下列规定修正：</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（一）投标文件中开标一览表（报价表）内容与投标文件中相应内容不一致的，以开标一览表（报价表）为准；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（二）大写金额和小写金额不一致的，以大写金额为准；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（三）单价金额小数点或者百分比有明显错位的，以开标一览表的总价为准，并修改单价；</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（四）总价金额与按单价汇总金额不一致的，以单价金额计算结果为准。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同时出现两种以上不一致的，按照前款规定的顺序修正。修正后的报价经投标人确认后产生约束力，投标人不确认的，其投标无效。</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3.2详细评审</w:t>
      </w:r>
    </w:p>
    <w:p>
      <w:pPr>
        <w:adjustRightInd w:val="0"/>
        <w:snapToGrid w:val="0"/>
        <w:spacing w:line="312"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3.2.1评标委员会应当按照招标文件中规定的评标方法和标准，对符合性审查合格的投标文件进行商务和技术评估，综合比较与评价，按本章第 2.2 款规定的量化因素和分值进行打分，并计算出综合评估得分。</w:t>
      </w:r>
    </w:p>
    <w:p>
      <w:pPr>
        <w:numPr>
          <w:ilvl w:val="0"/>
          <w:numId w:val="6"/>
        </w:numPr>
        <w:adjustRightInd w:val="0"/>
        <w:snapToGrid w:val="0"/>
        <w:spacing w:line="312"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按本章第 2.2.1目规定的评审因素和分值对投标报价计算出得分 A；</w:t>
      </w:r>
    </w:p>
    <w:p>
      <w:pPr>
        <w:numPr>
          <w:ilvl w:val="0"/>
          <w:numId w:val="6"/>
        </w:numPr>
        <w:adjustRightInd w:val="0"/>
        <w:snapToGrid w:val="0"/>
        <w:spacing w:line="312"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按本章第 2.2.2目规定的评审因素和分值对服务方案计算出得分 B；</w:t>
      </w:r>
    </w:p>
    <w:p>
      <w:pPr>
        <w:numPr>
          <w:ilvl w:val="0"/>
          <w:numId w:val="6"/>
        </w:numPr>
        <w:adjustRightInd w:val="0"/>
        <w:snapToGrid w:val="0"/>
        <w:spacing w:line="312"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按本章第 2.2.3目规定的评审因素和分值对技术部分计算出得分 C。</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3.2.2评分分值计算保留小数点后两位，小数点后第三位“四舍五入”。</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得分汇总D=A+B+C。</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 投标人得分E=（D1+D2+D3+D4+D5）/5</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对于提供相同品牌产品的处理：本项目核心产品是电喷雾离子淌度质谱仪。提供相同品牌产品且通过资格审查、符合性审查的不同投标人参加同一合同项下投标的，按一家投标人计算，评审后得分最高的同品牌投标人获得中标人推荐资格，其他同品牌投标人不作为中标候选人；评审得分相同的，以投标报价低者优先推荐；投标报价也相同的，以技术水平、履约能力、售后服务依次考察，以分值高者优先。</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3.3投标文件的澄清</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在评标过程中，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评标委员会不接受投标人主动提出的澄清、说明或补正。</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3.3.2投标人的澄清、说明或者补正不得超出投标文件的范围或者改变投标文件的实质性内容，并构成投标文件的组成部分。</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3.3.3评标委员会对投标人提交的澄清、说明或补正有疑问的，可以要求投标人进一步澄清、说明或补正，直至满足评标委员会的要求。</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3.4评标结果</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3.4.1根据评审结果，评标委员会按照经评审的得分由高到低的顺序推荐三名中标候选人，并由采购人确定中标人。</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3.4.2评标委员会完成评标后，应当向采购人提交书面评标报告。</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pPr>
        <w:adjustRightInd w:val="0"/>
        <w:snapToGrid w:val="0"/>
        <w:spacing w:line="312" w:lineRule="auto"/>
        <w:ind w:firstLine="480" w:firstLineChars="200"/>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bookmarkStart w:id="7" w:name="page45"/>
      <w:bookmarkEnd w:id="7"/>
    </w:p>
    <w:p>
      <w:pPr>
        <w:pStyle w:val="3"/>
        <w:spacing w:line="312" w:lineRule="auto"/>
        <w:jc w:val="center"/>
        <w:rPr>
          <w:rFonts w:hint="eastAsia" w:ascii="宋体" w:hAnsi="宋体" w:eastAsia="宋体" w:cs="宋体"/>
          <w:color w:val="auto"/>
          <w:sz w:val="36"/>
          <w:szCs w:val="36"/>
          <w:highlight w:val="none"/>
        </w:rPr>
      </w:pPr>
      <w:bookmarkStart w:id="8" w:name="_Toc10570"/>
      <w:r>
        <w:rPr>
          <w:rFonts w:hint="eastAsia" w:ascii="宋体" w:hAnsi="宋体" w:eastAsia="宋体" w:cs="宋体"/>
          <w:color w:val="auto"/>
          <w:sz w:val="36"/>
          <w:szCs w:val="36"/>
          <w:highlight w:val="none"/>
        </w:rPr>
        <w:t>第四章 合同文本</w:t>
      </w:r>
      <w:bookmarkEnd w:id="8"/>
    </w:p>
    <w:p>
      <w:pPr>
        <w:snapToGrid w:val="0"/>
        <w:spacing w:before="120" w:beforeLines="50" w:after="120" w:afterLines="50" w:line="288" w:lineRule="auto"/>
        <w:ind w:firstLine="420" w:firstLineChars="200"/>
        <w:jc w:val="center"/>
        <w:outlineLvl w:val="0"/>
        <w:rPr>
          <w:rFonts w:hint="eastAsia" w:ascii="宋体" w:hAnsi="宋体" w:eastAsia="宋体" w:cs="宋体"/>
          <w:b/>
          <w:bCs/>
          <w:color w:val="auto"/>
          <w:szCs w:val="21"/>
          <w:highlight w:val="none"/>
        </w:rPr>
      </w:pPr>
      <w:bookmarkStart w:id="9" w:name="page50"/>
      <w:bookmarkEnd w:id="9"/>
      <w:bookmarkStart w:id="10" w:name="_Toc27647"/>
      <w:r>
        <w:rPr>
          <w:rFonts w:hint="eastAsia" w:ascii="宋体" w:hAnsi="宋体" w:eastAsia="宋体" w:cs="宋体"/>
          <w:color w:val="auto"/>
          <w:szCs w:val="21"/>
          <w:highlight w:val="none"/>
        </w:rPr>
        <w:t>见东北师范大学政府采购中心官方网站下载中心</w:t>
      </w:r>
    </w:p>
    <w:p>
      <w:pPr>
        <w:rPr>
          <w:rFonts w:hint="eastAsia" w:ascii="宋体" w:hAnsi="宋体" w:eastAsia="宋体" w:cs="宋体"/>
          <w:color w:val="auto"/>
          <w:szCs w:val="21"/>
          <w:highlight w:val="none"/>
        </w:rPr>
        <w:sectPr>
          <w:headerReference r:id="rId5" w:type="default"/>
          <w:footerReference r:id="rId6" w:type="default"/>
          <w:pgSz w:w="12240" w:h="15840"/>
          <w:pgMar w:top="1440" w:right="1417" w:bottom="669" w:left="1417" w:header="720" w:footer="720" w:gutter="0"/>
          <w:cols w:space="720" w:num="1"/>
        </w:sectPr>
      </w:pPr>
      <w:r>
        <w:rPr>
          <w:rFonts w:hint="eastAsia" w:ascii="宋体" w:hAnsi="宋体" w:eastAsia="宋体" w:cs="宋体"/>
          <w:color w:val="auto"/>
          <w:highlight w:val="none"/>
        </w:rPr>
        <w:br w:type="page"/>
      </w:r>
    </w:p>
    <w:bookmarkEnd w:id="10"/>
    <w:p>
      <w:pPr>
        <w:pStyle w:val="3"/>
        <w:numPr>
          <w:ilvl w:val="0"/>
          <w:numId w:val="7"/>
        </w:numPr>
        <w:spacing w:line="312" w:lineRule="auto"/>
        <w:jc w:val="center"/>
        <w:rPr>
          <w:rFonts w:hint="eastAsia" w:ascii="宋体" w:hAnsi="宋体" w:eastAsia="宋体" w:cs="宋体"/>
          <w:color w:val="auto"/>
          <w:sz w:val="36"/>
          <w:szCs w:val="36"/>
          <w:highlight w:val="none"/>
        </w:rPr>
      </w:pPr>
      <w:bookmarkStart w:id="11" w:name="_Toc17218"/>
      <w:r>
        <w:rPr>
          <w:rFonts w:hint="eastAsia" w:ascii="宋体" w:hAnsi="宋体" w:eastAsia="宋体" w:cs="宋体"/>
          <w:color w:val="auto"/>
          <w:sz w:val="36"/>
          <w:szCs w:val="36"/>
          <w:highlight w:val="none"/>
        </w:rPr>
        <w:t>项目需求</w:t>
      </w:r>
      <w:bookmarkEnd w:id="11"/>
    </w:p>
    <w:p>
      <w:pPr>
        <w:keepNext w:val="0"/>
        <w:keepLines w:val="0"/>
        <w:pageBreakBefore w:val="0"/>
        <w:widowControl w:val="0"/>
        <w:kinsoku/>
        <w:wordWrap/>
        <w:overflowPunct/>
        <w:topLinePunct w:val="0"/>
        <w:autoSpaceDE w:val="0"/>
        <w:autoSpaceDN w:val="0"/>
        <w:bidi w:val="0"/>
        <w:adjustRightInd w:val="0"/>
        <w:spacing w:line="300" w:lineRule="auto"/>
        <w:textAlignment w:val="auto"/>
        <w:outlineLvl w:val="0"/>
        <w:rPr>
          <w:rFonts w:hint="eastAsia" w:ascii="宋体" w:hAnsi="宋体" w:eastAsia="宋体" w:cs="宋体"/>
          <w:bCs/>
          <w:color w:val="auto"/>
          <w:szCs w:val="21"/>
          <w:highlight w:val="none"/>
        </w:rPr>
      </w:pPr>
      <w:bookmarkStart w:id="12" w:name="page69"/>
      <w:bookmarkEnd w:id="12"/>
      <w:bookmarkStart w:id="13" w:name="_Toc26925"/>
      <w:r>
        <w:rPr>
          <w:rFonts w:hint="eastAsia" w:ascii="宋体" w:hAnsi="宋体" w:eastAsia="宋体" w:cs="宋体"/>
          <w:bCs/>
          <w:color w:val="auto"/>
          <w:szCs w:val="21"/>
          <w:highlight w:val="none"/>
        </w:rPr>
        <w:t xml:space="preserve">一、货物名称：电喷雾离子淌度质谱                    </w:t>
      </w:r>
    </w:p>
    <w:p>
      <w:pPr>
        <w:keepNext w:val="0"/>
        <w:keepLines w:val="0"/>
        <w:pageBreakBefore w:val="0"/>
        <w:widowControl w:val="0"/>
        <w:kinsoku/>
        <w:wordWrap/>
        <w:overflowPunct/>
        <w:topLinePunct w:val="0"/>
        <w:bidi w:val="0"/>
        <w:spacing w:line="300" w:lineRule="auto"/>
        <w:ind w:right="-178" w:rightChars="-85"/>
        <w:textAlignment w:val="auto"/>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二、数量：1套</w:t>
      </w:r>
    </w:p>
    <w:p>
      <w:pPr>
        <w:keepNext w:val="0"/>
        <w:keepLines w:val="0"/>
        <w:pageBreakBefore w:val="0"/>
        <w:widowControl w:val="0"/>
        <w:kinsoku/>
        <w:wordWrap/>
        <w:overflowPunct/>
        <w:topLinePunct w:val="0"/>
        <w:bidi w:val="0"/>
        <w:spacing w:line="300" w:lineRule="auto"/>
        <w:textAlignment w:val="auto"/>
        <w:outlineLvl w:val="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三、主要技术参数及配置清单：</w:t>
      </w:r>
    </w:p>
    <w:p>
      <w:pPr>
        <w:keepNext w:val="0"/>
        <w:keepLines w:val="0"/>
        <w:pageBreakBefore w:val="0"/>
        <w:widowControl w:val="0"/>
        <w:kinsoku/>
        <w:wordWrap/>
        <w:overflowPunct/>
        <w:topLinePunct w:val="0"/>
        <w:bidi w:val="0"/>
        <w:spacing w:line="300" w:lineRule="auto"/>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（一）主要技术参数</w:t>
      </w:r>
    </w:p>
    <w:p>
      <w:pPr>
        <w:keepNext w:val="0"/>
        <w:keepLines w:val="0"/>
        <w:pageBreakBefore w:val="0"/>
        <w:widowControl w:val="0"/>
        <w:kinsoku/>
        <w:wordWrap/>
        <w:overflowPunct/>
        <w:topLinePunct w:val="0"/>
        <w:bidi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1、工作条件</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1.1工作电压：220V±10%, 50Hz </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1.2温度：18~25度</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1.3湿度：20~80%</w:t>
      </w:r>
    </w:p>
    <w:p>
      <w:pPr>
        <w:keepNext w:val="0"/>
        <w:keepLines w:val="0"/>
        <w:pageBreakBefore w:val="0"/>
        <w:widowControl w:val="0"/>
        <w:kinsoku/>
        <w:wordWrap/>
        <w:overflowPunct/>
        <w:topLinePunct w:val="0"/>
        <w:bidi w:val="0"/>
        <w:snapToGrid w:val="0"/>
        <w:spacing w:line="30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质谱技术要求</w:t>
      </w:r>
    </w:p>
    <w:p>
      <w:pPr>
        <w:keepNext w:val="0"/>
        <w:keepLines w:val="0"/>
        <w:pageBreakBefore w:val="0"/>
        <w:widowControl w:val="0"/>
        <w:kinsoku/>
        <w:wordWrap/>
        <w:overflowPunct/>
        <w:topLinePunct w:val="0"/>
        <w:bidi w:val="0"/>
        <w:snapToGrid w:val="0"/>
        <w:spacing w:line="30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2.1高分辨质谱、超高效液相色谱仪、数据采集和数据处理软件为同一厂家生产；</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大气压离子源采用90度正交设计，并且离子源和质谱间有隔断阀，非运行样品期间不消耗氮气。</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2.3配置ESI和APCI复合离子源，离子源的电压可设置至4.5KV。</w:t>
      </w:r>
    </w:p>
    <w:p>
      <w:pPr>
        <w:keepNext w:val="0"/>
        <w:keepLines w:val="0"/>
        <w:pageBreakBefore w:val="0"/>
        <w:widowControl w:val="0"/>
        <w:kinsoku/>
        <w:wordWrap/>
        <w:overflowPunct/>
        <w:topLinePunct w:val="0"/>
        <w:bidi w:val="0"/>
        <w:snapToGrid w:val="0"/>
        <w:spacing w:line="300" w:lineRule="auto"/>
        <w:ind w:right="414" w:rightChars="197"/>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2.4离子传输部分采用金属锥孔或金属毛细管接口技术；</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snapToGrid w:val="0"/>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2.5配有直接进样</w:t>
      </w:r>
      <w:r>
        <w:rPr>
          <w:rFonts w:hint="eastAsia" w:ascii="宋体" w:hAnsi="宋体" w:eastAsia="宋体" w:cs="宋体"/>
          <w:snapToGrid w:val="0"/>
          <w:color w:val="auto"/>
          <w:szCs w:val="21"/>
          <w:highlight w:val="none"/>
        </w:rPr>
        <w:t>离子源，无需样品前处理，无需液相分离，可直接用于固体、液体及多酸化合物样品快速筛查，直接进样离子源与质谱仪为同一品牌；</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2.6离子源脱溶剂气体温度≥600度及以上，提高脱溶剂化效果；</w:t>
      </w:r>
      <w:r>
        <w:rPr>
          <w:rFonts w:hint="eastAsia" w:ascii="宋体" w:hAnsi="宋体" w:eastAsia="宋体" w:cs="宋体"/>
          <w:b/>
          <w:bCs/>
          <w:color w:val="auto"/>
          <w:szCs w:val="21"/>
          <w:highlight w:val="none"/>
        </w:rPr>
        <w:t>（标书中附厂家盖章的软件截图证明文件）</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2.7质量校正技术采用双进样口设计，样品谱图与校正试剂谱图两个通道采集，且双喷针之间有隔板切换，防止样品与校准液接触，软件能够自动根据同一样品数据中校正试剂的质量信息对样品数据进行校正；</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2.8检测器：增强型ADC检测器，并有“V”型和“W”两种路径可供选择，提供不同的灵敏度及定线性动态范围，用于定性和定量分析；</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2.9具备多种数据采集模式：</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2.9.1样品分析一次进样中，对全质量数范围自动进行MS和MS/MS数据采集，MS及MS/MS谱图质量范围可高达15,000 m/z，MS和MS/MS操作为同时进行，无质量数分段切换过程，且方法编辑只需设定一个高能量以及一个低能量就可得到全质量范围MS及MS/MS谱图，极大提高分析速度和结果报告效率，有效避免低丰度信号丢失。</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2.9.2 具备超快速数据非依赖扫描方式（DIA），一级MS及二级MS/MS均采用质量数分段数据采集，四极杆质量数分辨窗口分段可设置在20-50Da，扫描速度≥180谱图/次，最大限度提高选择性，减少谱图干扰，避免假阴性或假阳性；</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 xml:space="preserve">2.9.3 具备离子淌度非数据依赖扫描模式，通过淌度预分离，然后再同时得到全质量范围每单个化合物MS及MS/MS谱图，极大降低噪音干扰，增加化合物灵敏度，提高MS及MS/MS谱图洁净度，提高化合物鉴定的匹配度及可靠性； </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2.10质谱仪性能指标</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bookmarkStart w:id="14" w:name="_Hlk120206103"/>
      <w:r>
        <w:rPr>
          <w:rFonts w:hint="eastAsia" w:ascii="宋体" w:hAnsi="宋体" w:eastAsia="宋体" w:cs="宋体"/>
          <w:color w:val="auto"/>
          <w:sz w:val="24"/>
          <w:szCs w:val="24"/>
          <w:highlight w:val="none"/>
        </w:rPr>
        <w:t>▷</w:t>
      </w:r>
      <w:bookmarkEnd w:id="14"/>
      <w:r>
        <w:rPr>
          <w:rFonts w:hint="eastAsia" w:ascii="宋体" w:hAnsi="宋体" w:eastAsia="宋体" w:cs="宋体"/>
          <w:color w:val="auto"/>
          <w:szCs w:val="21"/>
          <w:highlight w:val="none"/>
        </w:rPr>
        <w:t>2.10.1 质量范围: 飞行时间质谱最大质荷比m/z ≥25000，满足覆盖对多酸阴离子的多电荷离子的检测要求（至少25000 m/z），该项参数要求为重要验收指标；</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2.10.2四级杆最大质荷比m/z≥4000；</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2.10.3分辨率：分辨率≥50,000 FWHM（非仪器最大分辨率，以厂家官方指标的分辨率为准）。</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2.10.4 灵敏度：</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 xml:space="preserve">2.10.4.1采用MS模式，1 pg 利血平，柱上进样，MS信噪比S/N≥4000:1, 原始数据无平滑，且连续6针进样RSD≤5%； </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 xml:space="preserve">2.10.4.2采用TOF-MRM模式，１pg利血平，柱上进样，MS/MS信噪比S/N ≥ 10000:1，原始数据无平滑，且连续6针进样RSD&lt;5%； </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2.10.5 MS及MS/MS的质量测量精度：MS和MS/MS模式均≤1 ppm；</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vertAlign w:val="superscript"/>
        </w:rPr>
      </w:pPr>
      <w:r>
        <w:rPr>
          <w:rFonts w:hint="eastAsia" w:ascii="宋体" w:hAnsi="宋体" w:eastAsia="宋体" w:cs="宋体"/>
          <w:color w:val="auto"/>
          <w:szCs w:val="21"/>
          <w:highlight w:val="none"/>
        </w:rPr>
        <w:t>2.10.6具备可编程的动态范围扩展技术，线性范围≥10</w:t>
      </w:r>
      <w:r>
        <w:rPr>
          <w:rFonts w:hint="eastAsia" w:ascii="宋体" w:hAnsi="宋体" w:eastAsia="宋体" w:cs="宋体"/>
          <w:color w:val="auto"/>
          <w:szCs w:val="21"/>
          <w:highlight w:val="none"/>
          <w:vertAlign w:val="superscript"/>
        </w:rPr>
        <w:t xml:space="preserve">5 </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2.10.7质谱具有离子淌度分离及定性功能，不同化合物不需要优化特定参数：</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snapToGrid w:val="0"/>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2.10.7.1可测定化合物的碰撞横面积（CCS）值，同时保证测得离子碰撞横面积（CCS）值偏差≤2%，并提供≥1500种化合物的碰撞横截面积（CCS）数据库。</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b/>
          <w:bCs/>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2.10.7.2淌度室位于四极杆质量分析器和飞行时间质谱分析器之间的位置，非离子传输部分。</w:t>
      </w:r>
      <w:r>
        <w:rPr>
          <w:rFonts w:hint="eastAsia" w:ascii="宋体" w:hAnsi="宋体" w:eastAsia="宋体" w:cs="宋体"/>
          <w:b/>
          <w:bCs/>
          <w:color w:val="auto"/>
          <w:szCs w:val="21"/>
          <w:highlight w:val="none"/>
        </w:rPr>
        <w:t>（标书内附生产厂家盖章的淌度池位置结构图技术证明文件）</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2.10.7.3离子淌度分辨率：注射逆序混合肽段，其双电荷峰（246.1m/z）在氮气环境中的分离度≥30（Ω/△Ω）,其碰撞截面积分别为222.7与211.7Å</w:t>
      </w:r>
      <w:r>
        <w:rPr>
          <w:rFonts w:hint="eastAsia" w:ascii="宋体" w:hAnsi="宋体" w:eastAsia="宋体" w:cs="宋体"/>
          <w:color w:val="auto"/>
          <w:szCs w:val="21"/>
          <w:highlight w:val="none"/>
          <w:vertAlign w:val="superscript"/>
        </w:rPr>
        <w:t>2</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b/>
          <w:bCs/>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2.10.7.4具备双碰撞室技术，可产生三级碎片离子（非源内碰撞）。能对二级子离子进行淌度分离，然后再次进入碰撞室并能由此获得三级质谱数据，并可应用于碳碳双键位置判断。</w:t>
      </w:r>
      <w:r>
        <w:rPr>
          <w:rFonts w:hint="eastAsia" w:ascii="宋体" w:hAnsi="宋体" w:eastAsia="宋体" w:cs="宋体"/>
          <w:b/>
          <w:bCs/>
          <w:color w:val="auto"/>
          <w:szCs w:val="21"/>
          <w:highlight w:val="none"/>
        </w:rPr>
        <w:t>（标书内附生产厂家盖章的技术证明文件，技术文件以制造商公开发布的印刷资料，官网证明，检测机构出具的检测报告）</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2.11内置全自动注射泵并自带≥3路进样瓶，实现质谱的自动调谐和校正。可智能开发化合物的质谱条件，每次可同时优化多个化合物，且开发好的质谱条件可以自动保存为方法文件，直接用于样品分析。</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 超高效液相色谱仪技术要求</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 二元溶剂管理系统</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b/>
          <w:bCs/>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3.1.1 二元梯度，可从四种溶剂中选择两种溶剂混合，压力传感器&gt;2个。</w:t>
      </w:r>
      <w:r>
        <w:rPr>
          <w:rFonts w:hint="eastAsia" w:ascii="宋体" w:hAnsi="宋体" w:eastAsia="宋体" w:cs="宋体"/>
          <w:b/>
          <w:bCs/>
          <w:color w:val="auto"/>
          <w:szCs w:val="21"/>
          <w:highlight w:val="none"/>
        </w:rPr>
        <w:t>（标书内附生产厂家盖章的压力传感器结构图和操作软件截图技术证明文件）</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3.1.2在线脱气机通道≥6通道</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 流量范围</w:t>
      </w:r>
      <w:bookmarkStart w:id="15" w:name="_Hlk104420675"/>
      <w:r>
        <w:rPr>
          <w:rFonts w:hint="eastAsia" w:ascii="宋体" w:hAnsi="宋体" w:eastAsia="宋体" w:cs="宋体"/>
          <w:color w:val="auto"/>
          <w:szCs w:val="21"/>
          <w:highlight w:val="none"/>
        </w:rPr>
        <w:t>≤</w:t>
      </w:r>
      <w:bookmarkEnd w:id="15"/>
      <w:r>
        <w:rPr>
          <w:rFonts w:hint="eastAsia" w:ascii="宋体" w:hAnsi="宋体" w:eastAsia="宋体" w:cs="宋体"/>
          <w:color w:val="auto"/>
          <w:szCs w:val="21"/>
          <w:highlight w:val="none"/>
        </w:rPr>
        <w:t xml:space="preserve">2.000mL/min，调节步长≤0.001mL/min </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3.1.4最大操作压力：15,000psi</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3.1.5延迟体积≤115μL，不随反压变化</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 柱塞清洗：自动，可编程</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3.1.7 流量精度≤0.075%RSD</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3.1.8流速准确度</w:t>
      </w:r>
      <w:bookmarkStart w:id="16" w:name="_Hlk104444233"/>
      <w:r>
        <w:rPr>
          <w:rFonts w:hint="eastAsia" w:ascii="宋体" w:hAnsi="宋体" w:eastAsia="宋体" w:cs="宋体"/>
          <w:color w:val="auto"/>
          <w:szCs w:val="21"/>
          <w:highlight w:val="none"/>
        </w:rPr>
        <w:t>≤</w:t>
      </w:r>
      <w:bookmarkEnd w:id="16"/>
      <w:r>
        <w:rPr>
          <w:rFonts w:hint="eastAsia" w:ascii="宋体" w:hAnsi="宋体" w:eastAsia="宋体" w:cs="宋体"/>
          <w:color w:val="auto"/>
          <w:szCs w:val="21"/>
          <w:highlight w:val="none"/>
        </w:rPr>
        <w:t>±1.2%</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3.1.9 梯度准确度≤± 0.6%，不随反压变化  </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3.1.10 梯度精度≤±0.2%RSD，不随反压变化</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3.1.11 混合方式：高压混合  </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 自动进样器管理系统</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样品盘数 ≥96位</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进样精度≤0.3%RSD</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样品交叉污染度≤0.002%</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3.2.4 进样体积范围：0.1-10µL，调节步长≤0.1 µL </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 进样线性度≥0.999</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3.2.6 自动进样循环时间≤30秒</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3.2.7 样品室温度范围：4°C-40°C，可编程，调节步长≤1°C</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3.2.8 针在线样品进样模式 </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3.3 柱温箱</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温度范围：室温以上5℃-90℃，调节步长≤0.1℃</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3.3.2色谱柱信息跟踪记录：在线记录色谱柱使用信息，并随色谱柱独立保存</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4.软件</w:t>
      </w:r>
    </w:p>
    <w:p>
      <w:pPr>
        <w:keepNext w:val="0"/>
        <w:keepLines w:val="0"/>
        <w:pageBreakBefore w:val="0"/>
        <w:widowControl w:val="0"/>
        <w:kinsoku/>
        <w:wordWrap/>
        <w:overflowPunct/>
        <w:topLinePunct w:val="0"/>
        <w:bidi w:val="0"/>
        <w:snapToGrid w:val="0"/>
        <w:spacing w:line="300" w:lineRule="auto"/>
        <w:ind w:right="414" w:rightChars="197"/>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Cs w:val="21"/>
          <w:highlight w:val="none"/>
        </w:rPr>
        <w:t>.1一套控制软件用于控制整套系统，包括仪器调节、数据采集、数据处理、分析和报告。</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4.2有化合物数据库，需含有基于离子淌度技术的CCS值谱库，用作定性分析。</w:t>
      </w:r>
    </w:p>
    <w:p>
      <w:pPr>
        <w:keepNext w:val="0"/>
        <w:keepLines w:val="0"/>
        <w:pageBreakBefore w:val="0"/>
        <w:widowControl w:val="0"/>
        <w:kinsoku/>
        <w:wordWrap/>
        <w:overflowPunct/>
        <w:topLinePunct w:val="0"/>
        <w:bidi w:val="0"/>
        <w:snapToGrid w:val="0"/>
        <w:spacing w:line="300" w:lineRule="auto"/>
        <w:ind w:right="414" w:rightChars="19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4.3可通过软件自动化控制常规操作中的淌度条件，也可以实现全面地手动控制淌度操作以供研究类型的用户使用。</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 结构解析软件：应用对已知前体结构的独特算法，可对小分子成分、药品和/或代谢物中以观察到的碎片离子进行结构</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4.5能够准确获取化合物不同同位素峰的丰度比，具有同位素丰度筛选功能，筛选基于真实同位素比例分布的元素分析功能，减少假阳性。</w:t>
      </w:r>
    </w:p>
    <w:p>
      <w:pPr>
        <w:keepNext w:val="0"/>
        <w:keepLines w:val="0"/>
        <w:pageBreakBefore w:val="0"/>
        <w:widowControl w:val="0"/>
        <w:kinsoku/>
        <w:wordWrap/>
        <w:overflowPunct/>
        <w:topLinePunct w:val="0"/>
        <w:bidi w:val="0"/>
        <w:spacing w:line="300" w:lineRule="auto"/>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1"/>
          <w:highlight w:val="none"/>
        </w:rPr>
        <w:t>5.其他设备：</w:t>
      </w:r>
      <w:r>
        <w:rPr>
          <w:rFonts w:hint="eastAsia" w:ascii="宋体" w:hAnsi="宋体" w:eastAsia="宋体" w:cs="宋体"/>
          <w:b/>
          <w:bCs/>
          <w:color w:val="auto"/>
          <w:szCs w:val="21"/>
          <w:highlight w:val="none"/>
        </w:rPr>
        <w:tab/>
      </w:r>
      <w:r>
        <w:rPr>
          <w:rFonts w:hint="eastAsia" w:ascii="宋体" w:hAnsi="宋体" w:eastAsia="宋体" w:cs="宋体"/>
          <w:b/>
          <w:bCs/>
          <w:color w:val="auto"/>
          <w:szCs w:val="24"/>
          <w:highlight w:val="none"/>
        </w:rPr>
        <w:tab/>
      </w:r>
      <w:r>
        <w:rPr>
          <w:rFonts w:hint="eastAsia" w:ascii="宋体" w:hAnsi="宋体" w:eastAsia="宋体" w:cs="宋体"/>
          <w:b/>
          <w:bCs/>
          <w:color w:val="auto"/>
          <w:szCs w:val="24"/>
          <w:highlight w:val="none"/>
        </w:rPr>
        <w:tab/>
      </w:r>
      <w:r>
        <w:rPr>
          <w:rFonts w:hint="eastAsia" w:ascii="宋体" w:hAnsi="宋体" w:eastAsia="宋体" w:cs="宋体"/>
          <w:b/>
          <w:bCs/>
          <w:color w:val="auto"/>
          <w:szCs w:val="24"/>
          <w:highlight w:val="none"/>
        </w:rPr>
        <w:tab/>
      </w:r>
      <w:r>
        <w:rPr>
          <w:rFonts w:hint="eastAsia" w:ascii="宋体" w:hAnsi="宋体" w:eastAsia="宋体" w:cs="宋体"/>
          <w:b/>
          <w:bCs/>
          <w:color w:val="auto"/>
          <w:szCs w:val="24"/>
          <w:highlight w:val="none"/>
        </w:rPr>
        <w:tab/>
      </w:r>
      <w:r>
        <w:rPr>
          <w:rFonts w:hint="eastAsia" w:ascii="宋体" w:hAnsi="宋体" w:eastAsia="宋体" w:cs="宋体"/>
          <w:b/>
          <w:bCs/>
          <w:color w:val="auto"/>
          <w:szCs w:val="24"/>
          <w:highlight w:val="none"/>
        </w:rPr>
        <w:tab/>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5.1.进口氮气发生器1套</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5.1.1采用高分子中空纤维膜分离技术，螺旋卷式分离结构</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5.1.2氮气流速、纯度：流速范围0-35/ min，最高纯度不小于99.5％，氮气输出压力高达116psi</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5.1.3内置由两台空气压缩机集成的超空压系统，进气压力高达145psi, 具有双压力保护装置，当氮气发生器内部压力异常时，系统具有自我保护功能</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5.1.4内置双冷却系统</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5.1.5耐高湿环境：环境相对湿度≥70％情况下，氮气发生器仍可正常运行</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5.1.6采用多重静音系统，系统（包括主机和压缩机）噪音水平：≤56dB/59.3dB@1m</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5.1.7内置除水模块，提供两级再热技术和蓄水—排水系统，氮气压力露点低至－60℃</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5.1.8非甲烷总烃捕集阱技术，非甲烷总烃＜1ppm，无悬浮液体，可去除邻苯二甲酸酯、BHT、硫氧化物和氮氧化物</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5.1.9三级过滤系统，提供实验室分析级氮气</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5.1.10节能模式，可独立控制每个空压机，实现智能化运行和关闭，节省能耗，延长使用寿命</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5.1.11 Ultra-fast快速启动，即开即用</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5.1.12 i-7库在线监测系统，拥有彩色触屏控制界面，实时监测压力、流量、环境温度和湿度，配备故障记录存储系统，具有在线服务和诊断功能</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UPS电源1套</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规格：10KVA，后备电池保障供电延时1小时</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24寸大屏显示器1个。</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5.4氩气钢瓶1个、氦气钢瓶1个。</w:t>
      </w:r>
    </w:p>
    <w:p>
      <w:pPr>
        <w:keepNext w:val="0"/>
        <w:keepLines w:val="0"/>
        <w:pageBreakBefore w:val="0"/>
        <w:widowControl w:val="0"/>
        <w:kinsoku/>
        <w:wordWrap/>
        <w:overflowPunct/>
        <w:topLinePunct w:val="0"/>
        <w:bidi w:val="0"/>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5.5彩色激光打印机1台。</w:t>
      </w:r>
    </w:p>
    <w:p>
      <w:pPr>
        <w:keepNext w:val="0"/>
        <w:keepLines w:val="0"/>
        <w:pageBreakBefore w:val="0"/>
        <w:widowControl w:val="0"/>
        <w:kinsoku/>
        <w:wordWrap/>
        <w:overflowPunct/>
        <w:topLinePunct w:val="0"/>
        <w:bidi w:val="0"/>
        <w:spacing w:line="300" w:lineRule="auto"/>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（二）配置清单</w:t>
      </w:r>
    </w:p>
    <w:p>
      <w:pPr>
        <w:widowControl w:val="0"/>
        <w:spacing w:line="360" w:lineRule="auto"/>
        <w:rPr>
          <w:szCs w:val="24"/>
          <w:highlight w:val="none"/>
        </w:rPr>
      </w:pPr>
      <w:r>
        <w:rPr>
          <w:rFonts w:hint="eastAsia"/>
          <w:szCs w:val="24"/>
          <w:highlight w:val="none"/>
        </w:rPr>
        <w:t>1.离子淌度质谱仪主机 1套</w:t>
      </w:r>
    </w:p>
    <w:p>
      <w:pPr>
        <w:widowControl w:val="0"/>
        <w:spacing w:line="360" w:lineRule="auto"/>
        <w:rPr>
          <w:szCs w:val="24"/>
          <w:highlight w:val="none"/>
        </w:rPr>
      </w:pPr>
      <w:r>
        <w:rPr>
          <w:rFonts w:hint="eastAsia"/>
          <w:szCs w:val="24"/>
          <w:highlight w:val="none"/>
        </w:rPr>
        <w:t xml:space="preserve">2.超高效液相色谱仪二元高压梯度泵1套 </w:t>
      </w:r>
    </w:p>
    <w:p>
      <w:pPr>
        <w:widowControl w:val="0"/>
        <w:spacing w:line="360" w:lineRule="auto"/>
        <w:rPr>
          <w:szCs w:val="24"/>
          <w:highlight w:val="none"/>
        </w:rPr>
      </w:pPr>
      <w:r>
        <w:rPr>
          <w:rFonts w:hint="eastAsia"/>
          <w:szCs w:val="24"/>
          <w:highlight w:val="none"/>
        </w:rPr>
        <w:t xml:space="preserve">3.自动进样器1台 </w:t>
      </w:r>
    </w:p>
    <w:p>
      <w:pPr>
        <w:widowControl w:val="0"/>
        <w:spacing w:line="360" w:lineRule="auto"/>
        <w:rPr>
          <w:szCs w:val="24"/>
          <w:highlight w:val="none"/>
        </w:rPr>
      </w:pPr>
      <w:r>
        <w:rPr>
          <w:rFonts w:hint="eastAsia"/>
          <w:szCs w:val="24"/>
          <w:highlight w:val="none"/>
        </w:rPr>
        <w:t>4.样品温度控制1个</w:t>
      </w:r>
    </w:p>
    <w:p>
      <w:pPr>
        <w:widowControl w:val="0"/>
        <w:spacing w:line="360" w:lineRule="auto"/>
        <w:rPr>
          <w:szCs w:val="24"/>
          <w:highlight w:val="none"/>
        </w:rPr>
      </w:pPr>
      <w:r>
        <w:rPr>
          <w:rFonts w:hint="eastAsia"/>
          <w:szCs w:val="24"/>
          <w:highlight w:val="none"/>
        </w:rPr>
        <w:t>5.在线脱气机1个</w:t>
      </w:r>
    </w:p>
    <w:p>
      <w:pPr>
        <w:widowControl w:val="0"/>
        <w:spacing w:line="360" w:lineRule="auto"/>
        <w:rPr>
          <w:szCs w:val="24"/>
          <w:highlight w:val="none"/>
        </w:rPr>
      </w:pPr>
      <w:r>
        <w:rPr>
          <w:rFonts w:hint="eastAsia"/>
          <w:szCs w:val="24"/>
          <w:highlight w:val="none"/>
        </w:rPr>
        <w:t xml:space="preserve">6.在线柱塞清洗1个 </w:t>
      </w:r>
    </w:p>
    <w:p>
      <w:pPr>
        <w:widowControl w:val="0"/>
        <w:spacing w:line="360" w:lineRule="auto"/>
        <w:rPr>
          <w:szCs w:val="24"/>
          <w:highlight w:val="none"/>
        </w:rPr>
      </w:pPr>
      <w:r>
        <w:rPr>
          <w:rFonts w:hint="eastAsia"/>
          <w:szCs w:val="24"/>
          <w:highlight w:val="none"/>
        </w:rPr>
        <w:t>7.柱温箱1个</w:t>
      </w:r>
    </w:p>
    <w:p>
      <w:pPr>
        <w:widowControl w:val="0"/>
        <w:spacing w:line="360" w:lineRule="auto"/>
        <w:rPr>
          <w:szCs w:val="24"/>
          <w:highlight w:val="none"/>
        </w:rPr>
      </w:pPr>
      <w:r>
        <w:rPr>
          <w:rFonts w:hint="eastAsia"/>
          <w:szCs w:val="24"/>
          <w:highlight w:val="none"/>
        </w:rPr>
        <w:t>8.操作软件1套</w:t>
      </w:r>
    </w:p>
    <w:p>
      <w:pPr>
        <w:widowControl w:val="0"/>
        <w:spacing w:line="360" w:lineRule="auto"/>
        <w:rPr>
          <w:szCs w:val="24"/>
          <w:highlight w:val="none"/>
        </w:rPr>
      </w:pPr>
      <w:r>
        <w:rPr>
          <w:rFonts w:hint="eastAsia"/>
          <w:szCs w:val="24"/>
          <w:highlight w:val="none"/>
        </w:rPr>
        <w:t>9.结构解析软件1个</w:t>
      </w:r>
    </w:p>
    <w:p>
      <w:pPr>
        <w:widowControl w:val="0"/>
        <w:spacing w:line="360" w:lineRule="auto"/>
        <w:rPr>
          <w:szCs w:val="24"/>
          <w:highlight w:val="none"/>
        </w:rPr>
      </w:pPr>
      <w:r>
        <w:rPr>
          <w:rFonts w:hint="eastAsia"/>
          <w:szCs w:val="24"/>
          <w:highlight w:val="none"/>
        </w:rPr>
        <w:t>10.</w:t>
      </w:r>
      <w:r>
        <w:rPr>
          <w:szCs w:val="24"/>
          <w:highlight w:val="none"/>
        </w:rPr>
        <w:t xml:space="preserve"> </w:t>
      </w:r>
      <w:r>
        <w:rPr>
          <w:rFonts w:hint="eastAsia"/>
          <w:szCs w:val="24"/>
          <w:highlight w:val="none"/>
        </w:rPr>
        <w:t>ESI/APCI复合离子源（含ESI探头）1个</w:t>
      </w:r>
    </w:p>
    <w:p>
      <w:pPr>
        <w:widowControl w:val="0"/>
        <w:spacing w:line="360" w:lineRule="auto"/>
        <w:rPr>
          <w:szCs w:val="24"/>
          <w:highlight w:val="none"/>
        </w:rPr>
      </w:pPr>
      <w:r>
        <w:rPr>
          <w:rFonts w:hint="eastAsia"/>
          <w:szCs w:val="24"/>
          <w:highlight w:val="none"/>
        </w:rPr>
        <w:t>1</w:t>
      </w:r>
      <w:r>
        <w:rPr>
          <w:szCs w:val="24"/>
          <w:highlight w:val="none"/>
        </w:rPr>
        <w:t>1</w:t>
      </w:r>
      <w:r>
        <w:rPr>
          <w:rFonts w:hint="eastAsia"/>
          <w:szCs w:val="24"/>
          <w:highlight w:val="none"/>
        </w:rPr>
        <w:t>.离子源探头（适合多酸化合物）1个</w:t>
      </w:r>
    </w:p>
    <w:p>
      <w:pPr>
        <w:widowControl w:val="0"/>
        <w:spacing w:line="360" w:lineRule="auto"/>
        <w:rPr>
          <w:rFonts w:hint="eastAsia"/>
          <w:szCs w:val="24"/>
          <w:highlight w:val="none"/>
        </w:rPr>
      </w:pPr>
      <w:r>
        <w:rPr>
          <w:rFonts w:hint="eastAsia"/>
          <w:szCs w:val="24"/>
          <w:highlight w:val="none"/>
        </w:rPr>
        <w:t>1</w:t>
      </w:r>
      <w:r>
        <w:rPr>
          <w:szCs w:val="24"/>
          <w:highlight w:val="none"/>
        </w:rPr>
        <w:t>2</w:t>
      </w:r>
      <w:r>
        <w:rPr>
          <w:rFonts w:hint="eastAsia"/>
          <w:szCs w:val="24"/>
          <w:highlight w:val="none"/>
        </w:rPr>
        <w:t>.直接进样离子源1个</w:t>
      </w:r>
    </w:p>
    <w:p>
      <w:pPr>
        <w:widowControl w:val="0"/>
        <w:spacing w:line="360" w:lineRule="auto"/>
        <w:rPr>
          <w:szCs w:val="24"/>
          <w:highlight w:val="none"/>
        </w:rPr>
      </w:pPr>
      <w:r>
        <w:rPr>
          <w:rFonts w:hint="eastAsia"/>
          <w:szCs w:val="24"/>
          <w:highlight w:val="none"/>
        </w:rPr>
        <w:t>1</w:t>
      </w:r>
      <w:r>
        <w:rPr>
          <w:szCs w:val="24"/>
          <w:highlight w:val="none"/>
        </w:rPr>
        <w:t>3</w:t>
      </w:r>
      <w:r>
        <w:rPr>
          <w:rFonts w:hint="eastAsia"/>
          <w:szCs w:val="24"/>
          <w:highlight w:val="none"/>
        </w:rPr>
        <w:t>.原厂亚2um色谱柱</w:t>
      </w:r>
      <w:r>
        <w:rPr>
          <w:szCs w:val="24"/>
          <w:highlight w:val="none"/>
        </w:rPr>
        <w:t>1</w:t>
      </w:r>
      <w:r>
        <w:rPr>
          <w:rFonts w:hint="eastAsia"/>
          <w:szCs w:val="24"/>
          <w:highlight w:val="none"/>
        </w:rPr>
        <w:t>根</w:t>
      </w:r>
    </w:p>
    <w:p>
      <w:pPr>
        <w:widowControl w:val="0"/>
        <w:spacing w:line="360" w:lineRule="auto"/>
        <w:rPr>
          <w:szCs w:val="24"/>
          <w:highlight w:val="none"/>
        </w:rPr>
      </w:pPr>
      <w:r>
        <w:rPr>
          <w:rFonts w:hint="eastAsia"/>
          <w:szCs w:val="24"/>
          <w:highlight w:val="none"/>
        </w:rPr>
        <w:t>1</w:t>
      </w:r>
      <w:r>
        <w:rPr>
          <w:szCs w:val="24"/>
          <w:highlight w:val="none"/>
        </w:rPr>
        <w:t>4</w:t>
      </w:r>
      <w:r>
        <w:rPr>
          <w:rFonts w:hint="eastAsia"/>
          <w:szCs w:val="24"/>
          <w:highlight w:val="none"/>
        </w:rPr>
        <w:t>.2ml样品瓶</w:t>
      </w:r>
      <w:r>
        <w:rPr>
          <w:szCs w:val="24"/>
          <w:highlight w:val="none"/>
        </w:rPr>
        <w:t>1</w:t>
      </w:r>
      <w:r>
        <w:rPr>
          <w:rFonts w:hint="eastAsia"/>
          <w:szCs w:val="24"/>
          <w:highlight w:val="none"/>
        </w:rPr>
        <w:t>盒</w:t>
      </w:r>
    </w:p>
    <w:p>
      <w:pPr>
        <w:widowControl w:val="0"/>
        <w:spacing w:line="360" w:lineRule="auto"/>
        <w:rPr>
          <w:szCs w:val="24"/>
          <w:highlight w:val="none"/>
        </w:rPr>
      </w:pPr>
      <w:r>
        <w:rPr>
          <w:rFonts w:hint="eastAsia"/>
          <w:szCs w:val="24"/>
          <w:highlight w:val="none"/>
        </w:rPr>
        <w:t>1</w:t>
      </w:r>
      <w:r>
        <w:rPr>
          <w:szCs w:val="24"/>
          <w:highlight w:val="none"/>
        </w:rPr>
        <w:t>5</w:t>
      </w:r>
      <w:r>
        <w:rPr>
          <w:rFonts w:hint="eastAsia"/>
          <w:szCs w:val="24"/>
          <w:highlight w:val="none"/>
        </w:rPr>
        <w:t>.在线过滤器</w:t>
      </w:r>
      <w:r>
        <w:rPr>
          <w:szCs w:val="24"/>
          <w:highlight w:val="none"/>
        </w:rPr>
        <w:t>1</w:t>
      </w:r>
      <w:r>
        <w:rPr>
          <w:rFonts w:hint="eastAsia"/>
          <w:szCs w:val="24"/>
          <w:highlight w:val="none"/>
        </w:rPr>
        <w:t>个</w:t>
      </w:r>
    </w:p>
    <w:p>
      <w:pPr>
        <w:widowControl w:val="0"/>
        <w:spacing w:line="360" w:lineRule="auto"/>
        <w:rPr>
          <w:szCs w:val="24"/>
          <w:highlight w:val="none"/>
        </w:rPr>
      </w:pPr>
      <w:r>
        <w:rPr>
          <w:rFonts w:hint="eastAsia"/>
          <w:szCs w:val="24"/>
          <w:highlight w:val="none"/>
        </w:rPr>
        <w:t>1</w:t>
      </w:r>
      <w:r>
        <w:rPr>
          <w:szCs w:val="24"/>
          <w:highlight w:val="none"/>
        </w:rPr>
        <w:t>6.</w:t>
      </w:r>
      <w:r>
        <w:rPr>
          <w:rFonts w:hint="eastAsia"/>
          <w:szCs w:val="24"/>
          <w:highlight w:val="none"/>
        </w:rPr>
        <w:t>滤芯1包</w:t>
      </w:r>
    </w:p>
    <w:p>
      <w:pPr>
        <w:widowControl w:val="0"/>
        <w:spacing w:line="360" w:lineRule="auto"/>
        <w:rPr>
          <w:szCs w:val="24"/>
          <w:highlight w:val="none"/>
        </w:rPr>
      </w:pPr>
      <w:r>
        <w:rPr>
          <w:rFonts w:hint="eastAsia"/>
          <w:szCs w:val="24"/>
          <w:highlight w:val="none"/>
        </w:rPr>
        <w:t>1</w:t>
      </w:r>
      <w:r>
        <w:rPr>
          <w:szCs w:val="24"/>
          <w:highlight w:val="none"/>
        </w:rPr>
        <w:t>7</w:t>
      </w:r>
      <w:r>
        <w:rPr>
          <w:rFonts w:hint="eastAsia"/>
          <w:szCs w:val="24"/>
          <w:highlight w:val="none"/>
        </w:rPr>
        <w:t>.测试标准品1套</w:t>
      </w:r>
    </w:p>
    <w:p>
      <w:pPr>
        <w:widowControl w:val="0"/>
        <w:spacing w:line="360" w:lineRule="auto"/>
        <w:rPr>
          <w:szCs w:val="24"/>
          <w:highlight w:val="none"/>
        </w:rPr>
      </w:pPr>
      <w:r>
        <w:rPr>
          <w:rFonts w:hint="eastAsia"/>
          <w:szCs w:val="24"/>
          <w:highlight w:val="none"/>
        </w:rPr>
        <w:t>1</w:t>
      </w:r>
      <w:r>
        <w:rPr>
          <w:szCs w:val="24"/>
          <w:highlight w:val="none"/>
        </w:rPr>
        <w:t>8</w:t>
      </w:r>
      <w:r>
        <w:rPr>
          <w:rFonts w:hint="eastAsia"/>
          <w:szCs w:val="24"/>
          <w:highlight w:val="none"/>
        </w:rPr>
        <w:t>.进口氮气发生器1台</w:t>
      </w:r>
    </w:p>
    <w:p>
      <w:pPr>
        <w:widowControl w:val="0"/>
        <w:spacing w:line="360" w:lineRule="auto"/>
        <w:rPr>
          <w:rFonts w:hint="eastAsia" w:eastAsia="宋体"/>
          <w:szCs w:val="24"/>
          <w:highlight w:val="none"/>
          <w:lang w:eastAsia="zh-CN"/>
        </w:rPr>
      </w:pPr>
      <w:r>
        <w:rPr>
          <w:rFonts w:hint="eastAsia"/>
          <w:szCs w:val="24"/>
          <w:highlight w:val="none"/>
        </w:rPr>
        <w:t>1</w:t>
      </w:r>
      <w:r>
        <w:rPr>
          <w:rFonts w:hint="eastAsia"/>
          <w:szCs w:val="24"/>
          <w:highlight w:val="none"/>
          <w:lang w:val="en-US" w:eastAsia="zh-CN"/>
        </w:rPr>
        <w:t>9</w:t>
      </w:r>
      <w:r>
        <w:rPr>
          <w:szCs w:val="24"/>
          <w:highlight w:val="none"/>
        </w:rPr>
        <w:t>.</w:t>
      </w:r>
      <w:r>
        <w:rPr>
          <w:rFonts w:hint="eastAsia"/>
          <w:szCs w:val="24"/>
          <w:highlight w:val="none"/>
        </w:rPr>
        <w:t xml:space="preserve"> 10KVA</w:t>
      </w:r>
      <w:r>
        <w:rPr>
          <w:szCs w:val="24"/>
          <w:highlight w:val="none"/>
        </w:rPr>
        <w:t xml:space="preserve"> </w:t>
      </w:r>
      <w:r>
        <w:rPr>
          <w:rFonts w:hint="eastAsia"/>
          <w:szCs w:val="24"/>
          <w:highlight w:val="none"/>
        </w:rPr>
        <w:t xml:space="preserve">UPS电源 </w:t>
      </w:r>
      <w:r>
        <w:rPr>
          <w:szCs w:val="24"/>
          <w:highlight w:val="none"/>
        </w:rPr>
        <w:t>1</w:t>
      </w:r>
      <w:r>
        <w:rPr>
          <w:rFonts w:hint="eastAsia"/>
          <w:szCs w:val="24"/>
          <w:highlight w:val="none"/>
        </w:rPr>
        <w:t>台</w:t>
      </w:r>
      <w:r>
        <w:rPr>
          <w:rFonts w:hint="eastAsia"/>
          <w:szCs w:val="24"/>
          <w:highlight w:val="none"/>
          <w:lang w:eastAsia="zh-CN"/>
        </w:rPr>
        <w:t>（</w:t>
      </w:r>
      <w:r>
        <w:rPr>
          <w:rFonts w:hint="eastAsia"/>
          <w:szCs w:val="24"/>
          <w:highlight w:val="none"/>
          <w:lang w:val="en-US" w:eastAsia="zh-CN"/>
        </w:rPr>
        <w:t>国内供货</w:t>
      </w:r>
      <w:r>
        <w:rPr>
          <w:rFonts w:hint="eastAsia"/>
          <w:szCs w:val="24"/>
          <w:highlight w:val="none"/>
          <w:lang w:eastAsia="zh-CN"/>
        </w:rPr>
        <w:t>）</w:t>
      </w:r>
    </w:p>
    <w:p>
      <w:pPr>
        <w:widowControl w:val="0"/>
        <w:spacing w:line="360" w:lineRule="auto"/>
        <w:rPr>
          <w:szCs w:val="24"/>
          <w:highlight w:val="none"/>
        </w:rPr>
      </w:pPr>
      <w:r>
        <w:rPr>
          <w:szCs w:val="24"/>
          <w:highlight w:val="none"/>
        </w:rPr>
        <w:t>20</w:t>
      </w:r>
      <w:r>
        <w:rPr>
          <w:rFonts w:hint="eastAsia"/>
          <w:szCs w:val="24"/>
          <w:highlight w:val="none"/>
        </w:rPr>
        <w:t>. 氩气钢瓶1个</w:t>
      </w:r>
      <w:r>
        <w:rPr>
          <w:rFonts w:hint="eastAsia"/>
          <w:szCs w:val="24"/>
          <w:highlight w:val="none"/>
          <w:lang w:eastAsia="zh-CN"/>
        </w:rPr>
        <w:t>（</w:t>
      </w:r>
      <w:r>
        <w:rPr>
          <w:rFonts w:hint="eastAsia"/>
          <w:szCs w:val="24"/>
          <w:highlight w:val="none"/>
          <w:lang w:val="en-US" w:eastAsia="zh-CN"/>
        </w:rPr>
        <w:t>国内供货</w:t>
      </w:r>
      <w:r>
        <w:rPr>
          <w:rFonts w:hint="eastAsia"/>
          <w:szCs w:val="24"/>
          <w:highlight w:val="none"/>
          <w:lang w:eastAsia="zh-CN"/>
        </w:rPr>
        <w:t>）</w:t>
      </w:r>
    </w:p>
    <w:p>
      <w:pPr>
        <w:widowControl w:val="0"/>
        <w:spacing w:line="360" w:lineRule="auto"/>
        <w:rPr>
          <w:szCs w:val="24"/>
          <w:highlight w:val="none"/>
        </w:rPr>
      </w:pPr>
      <w:r>
        <w:rPr>
          <w:rFonts w:hint="eastAsia"/>
          <w:szCs w:val="24"/>
          <w:highlight w:val="none"/>
        </w:rPr>
        <w:t>2</w:t>
      </w:r>
      <w:r>
        <w:rPr>
          <w:szCs w:val="24"/>
          <w:highlight w:val="none"/>
        </w:rPr>
        <w:t>1</w:t>
      </w:r>
      <w:r>
        <w:rPr>
          <w:rFonts w:hint="eastAsia"/>
          <w:szCs w:val="24"/>
          <w:highlight w:val="none"/>
        </w:rPr>
        <w:t>.</w:t>
      </w:r>
      <w:r>
        <w:rPr>
          <w:szCs w:val="24"/>
          <w:highlight w:val="none"/>
        </w:rPr>
        <w:t xml:space="preserve"> </w:t>
      </w:r>
      <w:r>
        <w:rPr>
          <w:rFonts w:hint="eastAsia"/>
          <w:szCs w:val="24"/>
          <w:highlight w:val="none"/>
        </w:rPr>
        <w:t>氦气钢瓶1个</w:t>
      </w:r>
      <w:r>
        <w:rPr>
          <w:rFonts w:hint="eastAsia"/>
          <w:szCs w:val="24"/>
          <w:highlight w:val="none"/>
          <w:lang w:eastAsia="zh-CN"/>
        </w:rPr>
        <w:t>（</w:t>
      </w:r>
      <w:r>
        <w:rPr>
          <w:rFonts w:hint="eastAsia"/>
          <w:szCs w:val="24"/>
          <w:highlight w:val="none"/>
          <w:lang w:val="en-US" w:eastAsia="zh-CN"/>
        </w:rPr>
        <w:t>国内供货</w:t>
      </w:r>
      <w:r>
        <w:rPr>
          <w:rFonts w:hint="eastAsia"/>
          <w:szCs w:val="24"/>
          <w:highlight w:val="none"/>
          <w:lang w:eastAsia="zh-CN"/>
        </w:rPr>
        <w:t>）</w:t>
      </w:r>
    </w:p>
    <w:p>
      <w:pPr>
        <w:widowControl w:val="0"/>
        <w:spacing w:line="360" w:lineRule="auto"/>
        <w:rPr>
          <w:szCs w:val="24"/>
          <w:highlight w:val="none"/>
        </w:rPr>
      </w:pPr>
      <w:r>
        <w:rPr>
          <w:rFonts w:hint="eastAsia"/>
          <w:szCs w:val="24"/>
          <w:highlight w:val="none"/>
        </w:rPr>
        <w:t>2</w:t>
      </w:r>
      <w:r>
        <w:rPr>
          <w:szCs w:val="24"/>
          <w:highlight w:val="none"/>
        </w:rPr>
        <w:t>2</w:t>
      </w:r>
      <w:r>
        <w:rPr>
          <w:rFonts w:hint="eastAsia"/>
          <w:szCs w:val="24"/>
          <w:highlight w:val="none"/>
        </w:rPr>
        <w:t>. 彩色激光打印机1台</w:t>
      </w:r>
      <w:r>
        <w:rPr>
          <w:rFonts w:hint="eastAsia"/>
          <w:szCs w:val="24"/>
          <w:highlight w:val="none"/>
          <w:lang w:eastAsia="zh-CN"/>
        </w:rPr>
        <w:t>（</w:t>
      </w:r>
      <w:r>
        <w:rPr>
          <w:rFonts w:hint="eastAsia"/>
          <w:szCs w:val="24"/>
          <w:highlight w:val="none"/>
          <w:lang w:val="en-US" w:eastAsia="zh-CN"/>
        </w:rPr>
        <w:t>国内供货</w:t>
      </w:r>
      <w:r>
        <w:rPr>
          <w:rFonts w:hint="eastAsia"/>
          <w:szCs w:val="24"/>
          <w:highlight w:val="none"/>
          <w:lang w:eastAsia="zh-CN"/>
        </w:rPr>
        <w:t>）</w:t>
      </w:r>
    </w:p>
    <w:p>
      <w:pPr>
        <w:widowControl w:val="0"/>
        <w:spacing w:line="360" w:lineRule="auto"/>
        <w:rPr>
          <w:rFonts w:hint="eastAsia"/>
          <w:szCs w:val="24"/>
          <w:highlight w:val="none"/>
        </w:rPr>
      </w:pPr>
      <w:r>
        <w:rPr>
          <w:rFonts w:hint="eastAsia"/>
          <w:szCs w:val="24"/>
          <w:highlight w:val="none"/>
        </w:rPr>
        <w:t>2</w:t>
      </w:r>
      <w:r>
        <w:rPr>
          <w:szCs w:val="24"/>
          <w:highlight w:val="none"/>
        </w:rPr>
        <w:t>3</w:t>
      </w:r>
      <w:r>
        <w:rPr>
          <w:rFonts w:hint="eastAsia"/>
          <w:szCs w:val="24"/>
          <w:highlight w:val="none"/>
        </w:rPr>
        <w:t>. 空调1台</w:t>
      </w:r>
      <w:r>
        <w:rPr>
          <w:rFonts w:hint="eastAsia"/>
          <w:szCs w:val="24"/>
          <w:highlight w:val="none"/>
          <w:lang w:eastAsia="zh-CN"/>
        </w:rPr>
        <w:t>（</w:t>
      </w:r>
      <w:r>
        <w:rPr>
          <w:rFonts w:hint="eastAsia"/>
          <w:szCs w:val="24"/>
          <w:highlight w:val="none"/>
          <w:lang w:val="en-US" w:eastAsia="zh-CN"/>
        </w:rPr>
        <w:t>国内供货</w:t>
      </w:r>
      <w:r>
        <w:rPr>
          <w:rFonts w:hint="eastAsia"/>
          <w:szCs w:val="24"/>
          <w:highlight w:val="none"/>
          <w:lang w:eastAsia="zh-CN"/>
        </w:rPr>
        <w:t>）</w:t>
      </w:r>
    </w:p>
    <w:p>
      <w:pPr>
        <w:keepNext w:val="0"/>
        <w:keepLines w:val="0"/>
        <w:pageBreakBefore w:val="0"/>
        <w:widowControl w:val="0"/>
        <w:kinsoku/>
        <w:wordWrap/>
        <w:overflowPunct/>
        <w:topLinePunct w:val="0"/>
        <w:bidi w:val="0"/>
        <w:spacing w:line="300" w:lineRule="auto"/>
        <w:ind w:right="-178" w:rightChars="-85"/>
        <w:textAlignment w:val="auto"/>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四、项目实施及售后要求：</w:t>
      </w:r>
    </w:p>
    <w:p>
      <w:pPr>
        <w:keepNext w:val="0"/>
        <w:keepLines w:val="0"/>
        <w:pageBreakBefore w:val="0"/>
        <w:widowControl w:val="0"/>
        <w:kinsoku/>
        <w:wordWrap/>
        <w:overflowPunct/>
        <w:topLinePunct w:val="0"/>
        <w:bidi w:val="0"/>
        <w:spacing w:line="30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免费保修时间：所有设备及附件提供</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年质保；</w:t>
      </w:r>
    </w:p>
    <w:p>
      <w:pPr>
        <w:keepNext w:val="0"/>
        <w:keepLines w:val="0"/>
        <w:pageBreakBefore w:val="0"/>
        <w:widowControl w:val="0"/>
        <w:kinsoku/>
        <w:wordWrap/>
        <w:overflowPunct/>
        <w:topLinePunct w:val="0"/>
        <w:bidi w:val="0"/>
        <w:spacing w:line="30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保修范围：提供整机全套设备质保；</w:t>
      </w:r>
    </w:p>
    <w:p>
      <w:pPr>
        <w:keepNext w:val="0"/>
        <w:keepLines w:val="0"/>
        <w:pageBreakBefore w:val="0"/>
        <w:widowControl w:val="0"/>
        <w:kinsoku/>
        <w:wordWrap/>
        <w:overflowPunct/>
        <w:topLinePunct w:val="0"/>
        <w:bidi w:val="0"/>
        <w:spacing w:line="30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售后服务要求：由技术人员现场安装、调试和技术指导，配合用户调试。所需工具、器材由中标人自理；各项性能指标达到技术要求的，由供需双方共同签字认可，现场验收；提供全套说明书并包括简易的操作说明和注意事项；供应商有专职的工程师，提供维修服务和技术支持。若设备遇故障后求援，保证8小时内有专人回复。若维修工程电话不能解决故障，保证在3个工作日内到现场处理。能快捷地提供各相应零配件，消耗性材料的补充服务。提供保修期外零配件优惠供应。</w:t>
      </w:r>
    </w:p>
    <w:p>
      <w:pPr>
        <w:widowControl w:val="0"/>
        <w:spacing w:line="360" w:lineRule="auto"/>
        <w:rPr>
          <w:rFonts w:hint="eastAsia" w:ascii="宋体" w:hAnsi="宋体" w:eastAsia="宋体" w:cs="宋体"/>
          <w:b/>
          <w:color w:val="auto"/>
          <w:kern w:val="44"/>
          <w:sz w:val="36"/>
          <w:szCs w:val="36"/>
          <w:highlight w:val="none"/>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培训要求：</w:t>
      </w:r>
      <w:r>
        <w:rPr>
          <w:rFonts w:hint="eastAsia"/>
          <w:color w:val="auto"/>
          <w:szCs w:val="24"/>
          <w:highlight w:val="none"/>
        </w:rPr>
        <w:t>淌度质谱提供至少两次培训：第一次在用户所在地对用户进行为期3天的培训。培训内容包括仪器的技术原理、操作、数据处理、基本维护等。第二次在验收后一年内，根据用户需求组织卖方高级技术人员到用户所在地进行高级培训，时间不少于5 天</w:t>
      </w:r>
      <w:r>
        <w:rPr>
          <w:rFonts w:hint="eastAsia" w:ascii="宋体" w:hAnsi="宋体" w:eastAsia="宋体" w:cs="宋体"/>
          <w:color w:val="auto"/>
          <w:szCs w:val="24"/>
          <w:highlight w:val="none"/>
        </w:rPr>
        <w:t>。</w:t>
      </w:r>
      <w:r>
        <w:rPr>
          <w:rFonts w:hint="eastAsia" w:ascii="宋体" w:hAnsi="宋体" w:eastAsia="宋体" w:cs="宋体"/>
          <w:b/>
          <w:color w:val="auto"/>
          <w:kern w:val="44"/>
          <w:sz w:val="36"/>
          <w:szCs w:val="36"/>
          <w:highlight w:val="none"/>
        </w:rPr>
        <w:br w:type="page"/>
      </w:r>
    </w:p>
    <w:p>
      <w:pPr>
        <w:jc w:val="left"/>
        <w:rPr>
          <w:rFonts w:hint="eastAsia" w:ascii="宋体" w:hAnsi="宋体" w:eastAsia="宋体" w:cs="宋体"/>
          <w:b/>
          <w:color w:val="auto"/>
          <w:kern w:val="44"/>
          <w:sz w:val="36"/>
          <w:szCs w:val="36"/>
          <w:highlight w:val="none"/>
        </w:rPr>
      </w:pPr>
    </w:p>
    <w:p>
      <w:pPr>
        <w:pStyle w:val="3"/>
        <w:spacing w:line="312"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第六章  投标文件格式</w:t>
      </w:r>
      <w:bookmarkEnd w:id="13"/>
    </w:p>
    <w:p>
      <w:pPr>
        <w:spacing w:line="312" w:lineRule="auto"/>
        <w:jc w:val="left"/>
        <w:rPr>
          <w:rFonts w:hint="eastAsia" w:ascii="宋体" w:hAnsi="宋体" w:eastAsia="宋体" w:cs="宋体"/>
          <w:color w:val="auto"/>
          <w:sz w:val="24"/>
          <w:highlight w:val="none"/>
        </w:rPr>
        <w:sectPr>
          <w:pgSz w:w="12240" w:h="15840"/>
          <w:pgMar w:top="1440" w:right="900" w:bottom="669" w:left="1134" w:header="720" w:footer="720" w:gutter="0"/>
          <w:cols w:space="720" w:num="1"/>
        </w:sectPr>
      </w:pPr>
    </w:p>
    <w:p>
      <w:pPr>
        <w:pStyle w:val="21"/>
        <w:spacing w:line="312" w:lineRule="auto"/>
        <w:ind w:firstLine="1246" w:firstLineChars="445"/>
        <w:rPr>
          <w:rFonts w:hint="eastAsia" w:ascii="宋体" w:hAnsi="宋体" w:eastAsia="宋体" w:cs="宋体"/>
          <w:bCs/>
          <w:color w:val="auto"/>
          <w:sz w:val="36"/>
          <w:szCs w:val="36"/>
          <w:highlight w:val="none"/>
        </w:rPr>
      </w:pPr>
      <w:bookmarkStart w:id="17" w:name="page71"/>
      <w:bookmarkEnd w:id="17"/>
      <w:r>
        <w:rPr>
          <w:rFonts w:hint="eastAsia" w:ascii="宋体" w:hAnsi="宋体" w:eastAsia="宋体" w:cs="宋体"/>
          <w:bCs/>
          <w:color w:val="auto"/>
          <w:sz w:val="28"/>
          <w:szCs w:val="28"/>
          <w:highlight w:val="none"/>
          <w:u w:val="single"/>
        </w:rPr>
        <w:t xml:space="preserve">                 (项目名称)                 </w:t>
      </w:r>
    </w:p>
    <w:p>
      <w:pPr>
        <w:pStyle w:val="21"/>
        <w:spacing w:line="312" w:lineRule="auto"/>
        <w:rPr>
          <w:rFonts w:hint="eastAsia" w:ascii="宋体" w:hAnsi="宋体" w:eastAsia="宋体" w:cs="宋体"/>
          <w:bCs/>
          <w:color w:val="auto"/>
          <w:szCs w:val="21"/>
          <w:highlight w:val="none"/>
        </w:rPr>
      </w:pPr>
    </w:p>
    <w:p>
      <w:pPr>
        <w:pStyle w:val="21"/>
        <w:spacing w:line="312" w:lineRule="auto"/>
        <w:rPr>
          <w:rFonts w:hint="eastAsia" w:ascii="宋体" w:hAnsi="宋体" w:eastAsia="宋体" w:cs="宋体"/>
          <w:bCs/>
          <w:color w:val="auto"/>
          <w:szCs w:val="21"/>
          <w:highlight w:val="none"/>
        </w:rPr>
      </w:pPr>
    </w:p>
    <w:p>
      <w:pPr>
        <w:pStyle w:val="21"/>
        <w:spacing w:line="312" w:lineRule="auto"/>
        <w:rPr>
          <w:rFonts w:hint="eastAsia" w:ascii="宋体" w:hAnsi="宋体" w:eastAsia="宋体" w:cs="宋体"/>
          <w:bCs/>
          <w:color w:val="auto"/>
          <w:szCs w:val="21"/>
          <w:highlight w:val="none"/>
        </w:rPr>
      </w:pPr>
    </w:p>
    <w:p>
      <w:pPr>
        <w:pStyle w:val="21"/>
        <w:spacing w:line="312" w:lineRule="auto"/>
        <w:rPr>
          <w:rFonts w:hint="eastAsia" w:ascii="宋体" w:hAnsi="宋体" w:eastAsia="宋体" w:cs="宋体"/>
          <w:bCs/>
          <w:color w:val="auto"/>
          <w:szCs w:val="21"/>
          <w:highlight w:val="none"/>
        </w:rPr>
      </w:pPr>
    </w:p>
    <w:p>
      <w:pPr>
        <w:pStyle w:val="21"/>
        <w:spacing w:line="312" w:lineRule="auto"/>
        <w:rPr>
          <w:rFonts w:hint="eastAsia" w:ascii="宋体" w:hAnsi="宋体" w:eastAsia="宋体" w:cs="宋体"/>
          <w:bCs/>
          <w:color w:val="auto"/>
          <w:szCs w:val="21"/>
          <w:highlight w:val="none"/>
        </w:rPr>
      </w:pPr>
    </w:p>
    <w:p>
      <w:pPr>
        <w:pStyle w:val="21"/>
        <w:spacing w:line="312" w:lineRule="auto"/>
        <w:jc w:val="center"/>
        <w:rPr>
          <w:rFonts w:hint="eastAsia" w:ascii="宋体" w:hAnsi="宋体" w:eastAsia="宋体" w:cs="宋体"/>
          <w:bCs/>
          <w:color w:val="auto"/>
          <w:szCs w:val="21"/>
          <w:highlight w:val="none"/>
        </w:rPr>
      </w:pPr>
    </w:p>
    <w:p>
      <w:pPr>
        <w:pStyle w:val="21"/>
        <w:spacing w:line="312"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投 标 文 件</w:t>
      </w:r>
    </w:p>
    <w:p>
      <w:pPr>
        <w:pStyle w:val="21"/>
        <w:spacing w:line="312" w:lineRule="auto"/>
        <w:ind w:firstLine="3360" w:firstLineChars="14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招标项目编号：</w:t>
      </w:r>
    </w:p>
    <w:p>
      <w:pPr>
        <w:pStyle w:val="21"/>
        <w:spacing w:line="312"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（正/副本）</w:t>
      </w:r>
    </w:p>
    <w:p>
      <w:pPr>
        <w:pStyle w:val="21"/>
        <w:spacing w:line="312" w:lineRule="auto"/>
        <w:jc w:val="center"/>
        <w:rPr>
          <w:rFonts w:hint="eastAsia" w:ascii="宋体" w:hAnsi="宋体" w:eastAsia="宋体" w:cs="宋体"/>
          <w:bCs/>
          <w:color w:val="auto"/>
          <w:szCs w:val="21"/>
          <w:highlight w:val="none"/>
        </w:rPr>
      </w:pPr>
    </w:p>
    <w:p>
      <w:pPr>
        <w:spacing w:line="312" w:lineRule="auto"/>
        <w:ind w:firstLine="562"/>
        <w:rPr>
          <w:rFonts w:hint="eastAsia" w:ascii="宋体" w:hAnsi="宋体" w:eastAsia="宋体" w:cs="宋体"/>
          <w:bCs/>
          <w:color w:val="auto"/>
          <w:szCs w:val="21"/>
          <w:highlight w:val="none"/>
        </w:rPr>
      </w:pPr>
    </w:p>
    <w:p>
      <w:pPr>
        <w:spacing w:line="312" w:lineRule="auto"/>
        <w:jc w:val="center"/>
        <w:rPr>
          <w:rFonts w:hint="eastAsia" w:ascii="宋体" w:hAnsi="宋体" w:eastAsia="宋体" w:cs="宋体"/>
          <w:bCs/>
          <w:color w:val="auto"/>
          <w:szCs w:val="21"/>
          <w:highlight w:val="none"/>
        </w:rPr>
      </w:pPr>
    </w:p>
    <w:p>
      <w:pPr>
        <w:spacing w:line="312" w:lineRule="auto"/>
        <w:jc w:val="center"/>
        <w:rPr>
          <w:rFonts w:hint="eastAsia" w:ascii="宋体" w:hAnsi="宋体" w:eastAsia="宋体" w:cs="宋体"/>
          <w:bCs/>
          <w:color w:val="auto"/>
          <w:szCs w:val="21"/>
          <w:highlight w:val="none"/>
        </w:rPr>
      </w:pPr>
    </w:p>
    <w:p>
      <w:pPr>
        <w:spacing w:line="312" w:lineRule="auto"/>
        <w:rPr>
          <w:rFonts w:hint="eastAsia" w:ascii="宋体" w:hAnsi="宋体" w:eastAsia="宋体" w:cs="宋体"/>
          <w:bCs/>
          <w:color w:val="auto"/>
          <w:szCs w:val="21"/>
          <w:highlight w:val="none"/>
        </w:rPr>
      </w:pPr>
    </w:p>
    <w:p>
      <w:pPr>
        <w:spacing w:line="312" w:lineRule="auto"/>
        <w:jc w:val="center"/>
        <w:rPr>
          <w:rFonts w:hint="eastAsia" w:ascii="宋体" w:hAnsi="宋体" w:eastAsia="宋体" w:cs="宋体"/>
          <w:bCs/>
          <w:color w:val="auto"/>
          <w:szCs w:val="21"/>
          <w:highlight w:val="none"/>
        </w:rPr>
      </w:pPr>
    </w:p>
    <w:p>
      <w:pPr>
        <w:spacing w:line="312" w:lineRule="auto"/>
        <w:jc w:val="center"/>
        <w:rPr>
          <w:rFonts w:hint="eastAsia" w:ascii="宋体" w:hAnsi="宋体" w:eastAsia="宋体" w:cs="宋体"/>
          <w:bCs/>
          <w:color w:val="auto"/>
          <w:szCs w:val="21"/>
          <w:highlight w:val="none"/>
        </w:rPr>
      </w:pPr>
    </w:p>
    <w:p>
      <w:pPr>
        <w:spacing w:line="312" w:lineRule="auto"/>
        <w:jc w:val="center"/>
        <w:rPr>
          <w:rFonts w:hint="eastAsia" w:ascii="宋体" w:hAnsi="宋体" w:eastAsia="宋体" w:cs="宋体"/>
          <w:bCs/>
          <w:color w:val="auto"/>
          <w:szCs w:val="21"/>
          <w:highlight w:val="none"/>
        </w:rPr>
      </w:pPr>
    </w:p>
    <w:p>
      <w:pPr>
        <w:spacing w:line="312" w:lineRule="auto"/>
        <w:jc w:val="center"/>
        <w:rPr>
          <w:rFonts w:hint="eastAsia" w:ascii="宋体" w:hAnsi="宋体" w:eastAsia="宋体" w:cs="宋体"/>
          <w:bCs/>
          <w:color w:val="auto"/>
          <w:szCs w:val="21"/>
          <w:highlight w:val="none"/>
        </w:rPr>
      </w:pPr>
    </w:p>
    <w:p>
      <w:pPr>
        <w:spacing w:line="312" w:lineRule="auto"/>
        <w:jc w:val="center"/>
        <w:rPr>
          <w:rFonts w:hint="eastAsia" w:ascii="宋体" w:hAnsi="宋体" w:eastAsia="宋体" w:cs="宋体"/>
          <w:bCs/>
          <w:color w:val="auto"/>
          <w:szCs w:val="21"/>
          <w:highlight w:val="none"/>
        </w:rPr>
      </w:pPr>
    </w:p>
    <w:p>
      <w:pPr>
        <w:spacing w:line="312" w:lineRule="auto"/>
        <w:jc w:val="center"/>
        <w:rPr>
          <w:rFonts w:hint="eastAsia" w:ascii="宋体" w:hAnsi="宋体" w:eastAsia="宋体" w:cs="宋体"/>
          <w:bCs/>
          <w:color w:val="auto"/>
          <w:szCs w:val="21"/>
          <w:highlight w:val="none"/>
        </w:rPr>
      </w:pPr>
    </w:p>
    <w:p>
      <w:pPr>
        <w:spacing w:line="312" w:lineRule="auto"/>
        <w:jc w:val="center"/>
        <w:rPr>
          <w:rFonts w:hint="eastAsia" w:ascii="宋体" w:hAnsi="宋体" w:eastAsia="宋体" w:cs="宋体"/>
          <w:bCs/>
          <w:color w:val="auto"/>
          <w:szCs w:val="21"/>
          <w:highlight w:val="none"/>
        </w:rPr>
      </w:pPr>
    </w:p>
    <w:p>
      <w:pPr>
        <w:spacing w:line="300" w:lineRule="auto"/>
        <w:ind w:firstLine="957" w:firstLineChars="34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投标人名称：(盖章)</w:t>
      </w:r>
    </w:p>
    <w:p>
      <w:pPr>
        <w:spacing w:line="300" w:lineRule="auto"/>
        <w:ind w:firstLine="957" w:firstLineChars="342"/>
        <w:rPr>
          <w:rFonts w:hint="eastAsia" w:ascii="宋体" w:hAnsi="宋体" w:eastAsia="宋体" w:cs="宋体"/>
          <w:bCs/>
          <w:color w:val="auto"/>
          <w:sz w:val="28"/>
          <w:szCs w:val="28"/>
          <w:highlight w:val="none"/>
          <w:u w:val="single"/>
        </w:rPr>
      </w:pPr>
    </w:p>
    <w:p>
      <w:pPr>
        <w:spacing w:line="300" w:lineRule="auto"/>
        <w:ind w:firstLine="957" w:firstLineChars="342"/>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法定代表人或其授权委托代理人：(签字或盖章)</w:t>
      </w:r>
    </w:p>
    <w:p>
      <w:pPr>
        <w:spacing w:line="312" w:lineRule="auto"/>
        <w:ind w:left="1078" w:firstLine="1026" w:firstLineChars="342"/>
        <w:rPr>
          <w:rFonts w:hint="eastAsia" w:ascii="宋体" w:hAnsi="宋体" w:eastAsia="宋体" w:cs="宋体"/>
          <w:bCs/>
          <w:color w:val="auto"/>
          <w:sz w:val="30"/>
          <w:szCs w:val="30"/>
          <w:highlight w:val="none"/>
          <w:u w:val="single"/>
        </w:rPr>
      </w:pPr>
    </w:p>
    <w:p>
      <w:pPr>
        <w:spacing w:line="312"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年    月    日</w:t>
      </w:r>
    </w:p>
    <w:p>
      <w:pPr>
        <w:spacing w:line="312" w:lineRule="auto"/>
        <w:jc w:val="left"/>
        <w:rPr>
          <w:rFonts w:hint="eastAsia" w:ascii="宋体" w:hAnsi="宋体" w:eastAsia="宋体" w:cs="宋体"/>
          <w:color w:val="auto"/>
          <w:sz w:val="24"/>
          <w:highlight w:val="none"/>
        </w:rPr>
      </w:pPr>
      <w:r>
        <w:rPr>
          <w:rFonts w:hint="eastAsia" w:ascii="宋体" w:hAnsi="宋体" w:eastAsia="宋体" w:cs="宋体"/>
          <w:bCs/>
          <w:color w:val="auto"/>
          <w:szCs w:val="21"/>
          <w:highlight w:val="none"/>
        </w:rPr>
        <w:br w:type="page"/>
      </w:r>
    </w:p>
    <w:p>
      <w:pPr>
        <w:spacing w:line="312" w:lineRule="auto"/>
        <w:jc w:val="center"/>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目录</w:t>
      </w:r>
    </w:p>
    <w:p>
      <w:pPr>
        <w:spacing w:line="312" w:lineRule="auto"/>
        <w:jc w:val="left"/>
        <w:rPr>
          <w:rFonts w:hint="eastAsia" w:ascii="宋体" w:hAnsi="宋体" w:eastAsia="宋体" w:cs="宋体"/>
          <w:color w:val="auto"/>
          <w:highlight w:val="none"/>
        </w:rPr>
      </w:pPr>
    </w:p>
    <w:p>
      <w:pPr>
        <w:spacing w:line="312"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12" w:lineRule="auto"/>
        <w:jc w:val="left"/>
        <w:rPr>
          <w:rFonts w:hint="eastAsia" w:ascii="宋体" w:hAnsi="宋体" w:eastAsia="宋体" w:cs="宋体"/>
          <w:color w:val="auto"/>
          <w:highlight w:val="none"/>
        </w:rPr>
      </w:pPr>
    </w:p>
    <w:p>
      <w:pPr>
        <w:spacing w:line="312" w:lineRule="auto"/>
        <w:jc w:val="left"/>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二、法定代表人身份证明（适用于无委托代理人的情况）</w:t>
      </w:r>
    </w:p>
    <w:p>
      <w:pPr>
        <w:spacing w:line="312" w:lineRule="auto"/>
        <w:jc w:val="left"/>
        <w:rPr>
          <w:rFonts w:hint="eastAsia" w:ascii="宋体" w:hAnsi="宋体" w:eastAsia="宋体" w:cs="宋体"/>
          <w:color w:val="auto"/>
          <w:highlight w:val="none"/>
        </w:rPr>
      </w:pPr>
    </w:p>
    <w:p>
      <w:pPr>
        <w:spacing w:line="312"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授权委托书（适用于有委托代理人的情况）</w:t>
      </w:r>
    </w:p>
    <w:p>
      <w:pPr>
        <w:spacing w:line="312" w:lineRule="auto"/>
        <w:ind w:firstLine="420" w:firstLineChars="200"/>
        <w:jc w:val="left"/>
        <w:rPr>
          <w:rFonts w:hint="eastAsia" w:ascii="宋体" w:hAnsi="宋体" w:eastAsia="宋体" w:cs="宋体"/>
          <w:color w:val="auto"/>
          <w:highlight w:val="none"/>
        </w:rPr>
      </w:pPr>
    </w:p>
    <w:p>
      <w:pPr>
        <w:numPr>
          <w:ilvl w:val="0"/>
          <w:numId w:val="8"/>
        </w:numPr>
        <w:spacing w:line="312" w:lineRule="auto"/>
        <w:jc w:val="left"/>
        <w:rPr>
          <w:rFonts w:hint="eastAsia" w:ascii="宋体" w:hAnsi="宋体" w:eastAsia="宋体" w:cs="宋体"/>
          <w:color w:val="auto"/>
          <w:highlight w:val="none"/>
        </w:rPr>
      </w:pPr>
      <w:r>
        <w:rPr>
          <w:rFonts w:hint="eastAsia" w:ascii="宋体" w:hAnsi="宋体" w:eastAsia="宋体" w:cs="宋体"/>
          <w:color w:val="auto"/>
          <w:highlight w:val="none"/>
        </w:rPr>
        <w:t>开标一览表</w:t>
      </w:r>
    </w:p>
    <w:p>
      <w:pPr>
        <w:spacing w:line="312" w:lineRule="auto"/>
        <w:jc w:val="left"/>
        <w:rPr>
          <w:rFonts w:hint="eastAsia" w:ascii="宋体" w:hAnsi="宋体" w:eastAsia="宋体" w:cs="宋体"/>
          <w:color w:val="auto"/>
          <w:highlight w:val="none"/>
        </w:rPr>
      </w:pPr>
    </w:p>
    <w:p>
      <w:pPr>
        <w:spacing w:line="312" w:lineRule="auto"/>
        <w:jc w:val="left"/>
        <w:rPr>
          <w:rFonts w:hint="eastAsia" w:ascii="宋体" w:hAnsi="宋体" w:eastAsia="宋体" w:cs="宋体"/>
          <w:color w:val="auto"/>
          <w:highlight w:val="none"/>
        </w:rPr>
      </w:pPr>
      <w:r>
        <w:rPr>
          <w:rFonts w:hint="eastAsia" w:ascii="宋体" w:hAnsi="宋体" w:eastAsia="宋体" w:cs="宋体"/>
          <w:color w:val="auto"/>
          <w:highlight w:val="none"/>
        </w:rPr>
        <w:t>四、投标保证金</w:t>
      </w:r>
    </w:p>
    <w:p>
      <w:pPr>
        <w:spacing w:line="312" w:lineRule="auto"/>
        <w:jc w:val="left"/>
        <w:rPr>
          <w:rFonts w:hint="eastAsia" w:ascii="宋体" w:hAnsi="宋体" w:eastAsia="宋体" w:cs="宋体"/>
          <w:color w:val="auto"/>
          <w:highlight w:val="none"/>
        </w:rPr>
      </w:pPr>
    </w:p>
    <w:p>
      <w:pPr>
        <w:spacing w:line="312" w:lineRule="auto"/>
        <w:jc w:val="left"/>
        <w:rPr>
          <w:rFonts w:hint="eastAsia" w:ascii="宋体" w:hAnsi="宋体" w:eastAsia="宋体" w:cs="宋体"/>
          <w:color w:val="auto"/>
          <w:highlight w:val="none"/>
        </w:rPr>
      </w:pPr>
      <w:r>
        <w:rPr>
          <w:rFonts w:hint="eastAsia" w:ascii="宋体" w:hAnsi="宋体" w:eastAsia="宋体" w:cs="宋体"/>
          <w:color w:val="auto"/>
          <w:highlight w:val="none"/>
        </w:rPr>
        <w:t>五、商务和技术偏差表</w:t>
      </w:r>
    </w:p>
    <w:p>
      <w:pPr>
        <w:spacing w:line="312" w:lineRule="auto"/>
        <w:jc w:val="left"/>
        <w:rPr>
          <w:rFonts w:hint="eastAsia" w:ascii="宋体" w:hAnsi="宋体" w:eastAsia="宋体" w:cs="宋体"/>
          <w:color w:val="auto"/>
          <w:highlight w:val="none"/>
        </w:rPr>
      </w:pPr>
    </w:p>
    <w:p>
      <w:pPr>
        <w:spacing w:line="312" w:lineRule="auto"/>
        <w:jc w:val="left"/>
        <w:rPr>
          <w:rFonts w:hint="eastAsia" w:ascii="宋体" w:hAnsi="宋体" w:eastAsia="宋体" w:cs="宋体"/>
          <w:color w:val="auto"/>
          <w:highlight w:val="none"/>
        </w:rPr>
      </w:pPr>
      <w:r>
        <w:rPr>
          <w:rFonts w:hint="eastAsia" w:ascii="宋体" w:hAnsi="宋体" w:eastAsia="宋体" w:cs="宋体"/>
          <w:color w:val="auto"/>
          <w:highlight w:val="none"/>
        </w:rPr>
        <w:t>六、分项报价表</w:t>
      </w:r>
    </w:p>
    <w:p>
      <w:pPr>
        <w:spacing w:line="312" w:lineRule="auto"/>
        <w:jc w:val="left"/>
        <w:rPr>
          <w:rFonts w:hint="eastAsia" w:ascii="宋体" w:hAnsi="宋体" w:eastAsia="宋体" w:cs="宋体"/>
          <w:color w:val="auto"/>
          <w:highlight w:val="none"/>
        </w:rPr>
      </w:pPr>
    </w:p>
    <w:p>
      <w:pPr>
        <w:spacing w:line="312"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七、</w:t>
      </w:r>
      <w:r>
        <w:rPr>
          <w:rFonts w:hint="eastAsia" w:ascii="宋体" w:hAnsi="宋体" w:eastAsia="宋体" w:cs="宋体"/>
          <w:color w:val="auto"/>
          <w:szCs w:val="21"/>
          <w:highlight w:val="none"/>
        </w:rPr>
        <w:t>资格审查资</w:t>
      </w:r>
      <w:r>
        <w:rPr>
          <w:rFonts w:hint="eastAsia" w:ascii="宋体" w:hAnsi="宋体" w:eastAsia="宋体" w:cs="宋体"/>
          <w:color w:val="auto"/>
          <w:highlight w:val="none"/>
        </w:rPr>
        <w:t>料</w:t>
      </w:r>
    </w:p>
    <w:p>
      <w:pPr>
        <w:spacing w:line="312" w:lineRule="auto"/>
        <w:jc w:val="left"/>
        <w:rPr>
          <w:rFonts w:hint="eastAsia" w:ascii="宋体" w:hAnsi="宋体" w:eastAsia="宋体" w:cs="宋体"/>
          <w:color w:val="auto"/>
          <w:highlight w:val="none"/>
        </w:rPr>
      </w:pPr>
    </w:p>
    <w:p>
      <w:pPr>
        <w:spacing w:line="312" w:lineRule="auto"/>
        <w:jc w:val="left"/>
        <w:rPr>
          <w:rFonts w:hint="eastAsia" w:ascii="宋体" w:hAnsi="宋体" w:eastAsia="宋体" w:cs="宋体"/>
          <w:color w:val="auto"/>
          <w:highlight w:val="none"/>
        </w:rPr>
      </w:pPr>
      <w:r>
        <w:rPr>
          <w:rFonts w:hint="eastAsia" w:ascii="宋体" w:hAnsi="宋体" w:eastAsia="宋体" w:cs="宋体"/>
          <w:color w:val="auto"/>
          <w:highlight w:val="none"/>
        </w:rPr>
        <w:t>八、其他资料</w:t>
      </w: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pStyle w:val="6"/>
        <w:rPr>
          <w:rFonts w:hint="eastAsia" w:ascii="宋体" w:hAnsi="宋体" w:eastAsia="宋体" w:cs="宋体"/>
          <w:color w:val="auto"/>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bookmarkStart w:id="18" w:name="page72"/>
      <w:bookmarkEnd w:id="18"/>
    </w:p>
    <w:p>
      <w:pPr>
        <w:pStyle w:val="4"/>
        <w:spacing w:line="312" w:lineRule="auto"/>
        <w:jc w:val="center"/>
        <w:rPr>
          <w:rFonts w:hint="eastAsia" w:ascii="宋体" w:hAnsi="宋体" w:eastAsia="宋体" w:cs="宋体"/>
          <w:b w:val="0"/>
          <w:color w:val="auto"/>
          <w:highlight w:val="none"/>
        </w:rPr>
      </w:pPr>
      <w:bookmarkStart w:id="19" w:name="_Toc22154"/>
      <w:bookmarkStart w:id="20" w:name="_Toc22956"/>
      <w:bookmarkStart w:id="21" w:name="_Toc22345"/>
      <w:bookmarkStart w:id="22" w:name="_Toc490665432"/>
      <w:r>
        <w:rPr>
          <w:rFonts w:hint="eastAsia" w:ascii="宋体" w:hAnsi="宋体" w:eastAsia="宋体" w:cs="宋体"/>
          <w:b w:val="0"/>
          <w:color w:val="auto"/>
          <w:highlight w:val="none"/>
        </w:rPr>
        <w:t>一、投标函</w:t>
      </w:r>
      <w:bookmarkEnd w:id="19"/>
      <w:bookmarkEnd w:id="20"/>
      <w:bookmarkEnd w:id="21"/>
    </w:p>
    <w:p>
      <w:pPr>
        <w:autoSpaceDE w:val="0"/>
        <w:autoSpaceDN w:val="0"/>
        <w:adjustRightInd w:val="0"/>
        <w:spacing w:line="312"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(采购人名称)：</w:t>
      </w:r>
    </w:p>
    <w:p>
      <w:pPr>
        <w:autoSpaceDE w:val="0"/>
        <w:autoSpaceDN w:val="0"/>
        <w:adjustRightInd w:val="0"/>
        <w:spacing w:line="312" w:lineRule="auto"/>
        <w:ind w:left="630" w:leftChars="200" w:hanging="210" w:hangingChars="1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1.我方已仔细研究了</w:t>
      </w:r>
      <w:r>
        <w:rPr>
          <w:rFonts w:hint="eastAsia" w:ascii="宋体" w:hAnsi="宋体" w:eastAsia="宋体" w:cs="宋体"/>
          <w:bCs/>
          <w:color w:val="auto"/>
          <w:kern w:val="0"/>
          <w:szCs w:val="21"/>
          <w:highlight w:val="none"/>
          <w:u w:val="single"/>
        </w:rPr>
        <w:t xml:space="preserve">    (项目名称)　    　</w:t>
      </w:r>
      <w:r>
        <w:rPr>
          <w:rFonts w:hint="eastAsia" w:ascii="宋体" w:hAnsi="宋体" w:eastAsia="宋体" w:cs="宋体"/>
          <w:bCs/>
          <w:color w:val="auto"/>
          <w:kern w:val="0"/>
          <w:szCs w:val="21"/>
          <w:highlight w:val="none"/>
        </w:rPr>
        <w:t>招标文件的全部内容，我方愿意以</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报价，供货期</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，按合同约定实施和完成承包上述招标项目。</w:t>
      </w:r>
    </w:p>
    <w:p>
      <w:pPr>
        <w:autoSpaceDE w:val="0"/>
        <w:autoSpaceDN w:val="0"/>
        <w:adjustRightInd w:val="0"/>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2.我方承诺在投标有效期</w:t>
      </w:r>
      <w:r>
        <w:rPr>
          <w:rFonts w:hint="eastAsia" w:ascii="宋体" w:hAnsi="宋体" w:eastAsia="宋体" w:cs="宋体"/>
          <w:bCs/>
          <w:color w:val="auto"/>
          <w:kern w:val="0"/>
          <w:szCs w:val="21"/>
          <w:highlight w:val="none"/>
          <w:u w:val="single"/>
        </w:rPr>
        <w:t xml:space="preserve">    天</w:t>
      </w:r>
      <w:r>
        <w:rPr>
          <w:rFonts w:hint="eastAsia" w:ascii="宋体" w:hAnsi="宋体" w:eastAsia="宋体" w:cs="宋体"/>
          <w:bCs/>
          <w:color w:val="auto"/>
          <w:kern w:val="0"/>
          <w:szCs w:val="21"/>
          <w:highlight w:val="none"/>
        </w:rPr>
        <w:t>内不修改、撤销投标文件。</w:t>
      </w:r>
    </w:p>
    <w:p>
      <w:pPr>
        <w:autoSpaceDE w:val="0"/>
        <w:autoSpaceDN w:val="0"/>
        <w:adjustRightInd w:val="0"/>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3.随同本投标函提交投标保证金一份，金额为人民币(大写)</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元(¥</w:t>
      </w:r>
      <w:r>
        <w:rPr>
          <w:rFonts w:hint="eastAsia" w:ascii="宋体" w:hAnsi="宋体" w:eastAsia="宋体" w:cs="宋体"/>
          <w:bCs/>
          <w:color w:val="auto"/>
          <w:kern w:val="0"/>
          <w:szCs w:val="21"/>
          <w:highlight w:val="none"/>
          <w:u w:val="single"/>
        </w:rPr>
        <w:t xml:space="preserve">     元</w:t>
      </w:r>
      <w:r>
        <w:rPr>
          <w:rFonts w:hint="eastAsia" w:ascii="宋体" w:hAnsi="宋体" w:eastAsia="宋体" w:cs="宋体"/>
          <w:bCs/>
          <w:color w:val="auto"/>
          <w:kern w:val="0"/>
          <w:szCs w:val="21"/>
          <w:highlight w:val="none"/>
        </w:rPr>
        <w:t>)。</w:t>
      </w:r>
    </w:p>
    <w:p>
      <w:pPr>
        <w:autoSpaceDE w:val="0"/>
        <w:autoSpaceDN w:val="0"/>
        <w:adjustRightInd w:val="0"/>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4.如我方中标：</w:t>
      </w:r>
    </w:p>
    <w:p>
      <w:pPr>
        <w:autoSpaceDE w:val="0"/>
        <w:autoSpaceDN w:val="0"/>
        <w:adjustRightInd w:val="0"/>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(1)我方承诺在收到中标通知书后，在中标通知书规定的期限内与你方签订合同，并遵守合同中关于权利和义务的约定；</w:t>
      </w:r>
    </w:p>
    <w:p>
      <w:pPr>
        <w:autoSpaceDE w:val="0"/>
        <w:autoSpaceDN w:val="0"/>
        <w:adjustRightInd w:val="0"/>
        <w:spacing w:line="312" w:lineRule="auto"/>
        <w:ind w:firstLine="380" w:firstLineChars="200"/>
        <w:jc w:val="left"/>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 xml:space="preserve"> (2)我方承诺按照招标文件中规定的技术标准和要求在合同约定的期限内，完成并移交全部合同内容。</w:t>
      </w:r>
    </w:p>
    <w:p>
      <w:pPr>
        <w:autoSpaceDE w:val="0"/>
        <w:autoSpaceDN w:val="0"/>
        <w:adjustRightInd w:val="0"/>
        <w:spacing w:line="312"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5.我方在此声明，所递交的投标文件及有关资料内容完整、真实和准确。</w:t>
      </w:r>
    </w:p>
    <w:p>
      <w:pPr>
        <w:autoSpaceDE w:val="0"/>
        <w:autoSpaceDN w:val="0"/>
        <w:adjustRightInd w:val="0"/>
        <w:spacing w:line="312"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6.我方承诺为贵校提供的所投产品与近期在为其他需方供货的同品牌、同型号、同规格，以及相同售后服务等约定的产品，未恶意抬高价格，并且保质保量。</w:t>
      </w:r>
    </w:p>
    <w:p>
      <w:pPr>
        <w:autoSpaceDE w:val="0"/>
        <w:autoSpaceDN w:val="0"/>
        <w:adjustRightInd w:val="0"/>
        <w:spacing w:line="312"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7.(其他补充说明)。</w:t>
      </w:r>
    </w:p>
    <w:p>
      <w:pPr>
        <w:autoSpaceDE w:val="0"/>
        <w:autoSpaceDN w:val="0"/>
        <w:adjustRightInd w:val="0"/>
        <w:spacing w:line="312" w:lineRule="auto"/>
        <w:ind w:firstLine="420" w:firstLineChars="200"/>
        <w:jc w:val="left"/>
        <w:rPr>
          <w:rFonts w:hint="eastAsia" w:ascii="宋体" w:hAnsi="宋体" w:eastAsia="宋体" w:cs="宋体"/>
          <w:bCs/>
          <w:color w:val="auto"/>
          <w:kern w:val="0"/>
          <w:szCs w:val="21"/>
          <w:highlight w:val="none"/>
        </w:rPr>
      </w:pPr>
    </w:p>
    <w:p>
      <w:pPr>
        <w:autoSpaceDE w:val="0"/>
        <w:autoSpaceDN w:val="0"/>
        <w:adjustRightInd w:val="0"/>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 标 人：(盖单位章)</w:t>
      </w:r>
    </w:p>
    <w:p>
      <w:pPr>
        <w:autoSpaceDE w:val="0"/>
        <w:autoSpaceDN w:val="0"/>
        <w:adjustRightInd w:val="0"/>
        <w:spacing w:line="312" w:lineRule="auto"/>
        <w:ind w:firstLine="420" w:firstLineChars="200"/>
        <w:jc w:val="left"/>
        <w:rPr>
          <w:rFonts w:hint="eastAsia" w:ascii="宋体" w:hAnsi="宋体" w:eastAsia="宋体" w:cs="宋体"/>
          <w:bCs/>
          <w:color w:val="auto"/>
          <w:kern w:val="0"/>
          <w:szCs w:val="21"/>
          <w:highlight w:val="none"/>
        </w:rPr>
      </w:pPr>
    </w:p>
    <w:p>
      <w:pPr>
        <w:autoSpaceDE w:val="0"/>
        <w:autoSpaceDN w:val="0"/>
        <w:adjustRightInd w:val="0"/>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法定代表人或其</w:t>
      </w:r>
    </w:p>
    <w:p>
      <w:pPr>
        <w:autoSpaceDE w:val="0"/>
        <w:autoSpaceDN w:val="0"/>
        <w:adjustRightInd w:val="0"/>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授权委托代理人：(签字)</w:t>
      </w:r>
    </w:p>
    <w:p>
      <w:pPr>
        <w:autoSpaceDE w:val="0"/>
        <w:autoSpaceDN w:val="0"/>
        <w:adjustRightInd w:val="0"/>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    址：</w:t>
      </w:r>
    </w:p>
    <w:p>
      <w:pPr>
        <w:autoSpaceDE w:val="0"/>
        <w:autoSpaceDN w:val="0"/>
        <w:adjustRightInd w:val="0"/>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网    址：</w:t>
      </w:r>
    </w:p>
    <w:p>
      <w:pPr>
        <w:autoSpaceDE w:val="0"/>
        <w:autoSpaceDN w:val="0"/>
        <w:adjustRightInd w:val="0"/>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电    话：</w:t>
      </w:r>
    </w:p>
    <w:p>
      <w:pPr>
        <w:autoSpaceDE w:val="0"/>
        <w:autoSpaceDN w:val="0"/>
        <w:adjustRightInd w:val="0"/>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传    真：</w:t>
      </w:r>
    </w:p>
    <w:p>
      <w:pPr>
        <w:autoSpaceDE w:val="0"/>
        <w:autoSpaceDN w:val="0"/>
        <w:adjustRightInd w:val="0"/>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邮政编码：</w:t>
      </w:r>
    </w:p>
    <w:p>
      <w:pPr>
        <w:spacing w:line="312" w:lineRule="auto"/>
        <w:jc w:val="righ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年月日</w:t>
      </w:r>
    </w:p>
    <w:p>
      <w:pPr>
        <w:pStyle w:val="5"/>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5"/>
        <w:spacing w:line="312" w:lineRule="auto"/>
        <w:jc w:val="center"/>
        <w:rPr>
          <w:rFonts w:hint="eastAsia" w:ascii="宋体" w:hAnsi="宋体" w:eastAsia="宋体" w:cs="宋体"/>
          <w:color w:val="auto"/>
          <w:szCs w:val="21"/>
          <w:highlight w:val="none"/>
        </w:rPr>
      </w:pPr>
      <w:bookmarkStart w:id="23" w:name="_Toc17909"/>
      <w:bookmarkStart w:id="24" w:name="_Toc12298"/>
      <w:r>
        <w:rPr>
          <w:rFonts w:hint="eastAsia" w:ascii="宋体" w:hAnsi="宋体" w:eastAsia="宋体" w:cs="宋体"/>
          <w:color w:val="auto"/>
          <w:szCs w:val="21"/>
          <w:highlight w:val="none"/>
        </w:rPr>
        <w:t>投标函附录</w:t>
      </w:r>
      <w:bookmarkEnd w:id="22"/>
      <w:bookmarkEnd w:id="23"/>
      <w:bookmarkEnd w:id="24"/>
    </w:p>
    <w:tbl>
      <w:tblPr>
        <w:tblStyle w:val="2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4321"/>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37" w:type="dxa"/>
            <w:vAlign w:val="center"/>
          </w:tcPr>
          <w:p>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4321" w:type="dxa"/>
            <w:vAlign w:val="center"/>
          </w:tcPr>
          <w:p>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约定内容</w:t>
            </w:r>
          </w:p>
        </w:tc>
        <w:tc>
          <w:tcPr>
            <w:tcW w:w="1980" w:type="dxa"/>
            <w:vAlign w:val="center"/>
          </w:tcPr>
          <w:p>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37" w:type="dxa"/>
            <w:vAlign w:val="bottom"/>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供货期</w:t>
            </w:r>
          </w:p>
        </w:tc>
        <w:tc>
          <w:tcPr>
            <w:tcW w:w="4321" w:type="dxa"/>
            <w:vAlign w:val="center"/>
          </w:tcPr>
          <w:p>
            <w:pPr>
              <w:spacing w:line="312" w:lineRule="auto"/>
              <w:rPr>
                <w:rFonts w:hint="eastAsia" w:ascii="宋体" w:hAnsi="宋体" w:eastAsia="宋体" w:cs="宋体"/>
                <w:color w:val="auto"/>
                <w:szCs w:val="21"/>
                <w:highlight w:val="none"/>
              </w:rPr>
            </w:pPr>
          </w:p>
        </w:tc>
        <w:tc>
          <w:tcPr>
            <w:tcW w:w="1980" w:type="dxa"/>
            <w:vAlign w:val="center"/>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337" w:type="dxa"/>
            <w:vAlign w:val="bottom"/>
          </w:tcPr>
          <w:p>
            <w:pPr>
              <w:autoSpaceDE w:val="0"/>
              <w:autoSpaceDN w:val="0"/>
              <w:adjustRightInd w:val="0"/>
              <w:spacing w:line="312"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4321" w:type="dxa"/>
            <w:vAlign w:val="center"/>
          </w:tcPr>
          <w:p>
            <w:pPr>
              <w:autoSpaceDE w:val="0"/>
              <w:autoSpaceDN w:val="0"/>
              <w:adjustRightInd w:val="0"/>
              <w:spacing w:line="312"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90天</w:t>
            </w:r>
          </w:p>
        </w:tc>
        <w:tc>
          <w:tcPr>
            <w:tcW w:w="1980" w:type="dxa"/>
            <w:vAlign w:val="center"/>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337" w:type="dxa"/>
            <w:vAlign w:val="bottom"/>
          </w:tcPr>
          <w:p>
            <w:pPr>
              <w:autoSpaceDE w:val="0"/>
              <w:autoSpaceDN w:val="0"/>
              <w:adjustRightInd w:val="0"/>
              <w:spacing w:line="312"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质保期</w:t>
            </w:r>
          </w:p>
        </w:tc>
        <w:tc>
          <w:tcPr>
            <w:tcW w:w="4321" w:type="dxa"/>
            <w:vAlign w:val="center"/>
          </w:tcPr>
          <w:p>
            <w:pPr>
              <w:autoSpaceDE w:val="0"/>
              <w:autoSpaceDN w:val="0"/>
              <w:adjustRightInd w:val="0"/>
              <w:spacing w:line="312" w:lineRule="auto"/>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 </w:t>
            </w:r>
          </w:p>
        </w:tc>
        <w:tc>
          <w:tcPr>
            <w:tcW w:w="1980" w:type="dxa"/>
            <w:vAlign w:val="center"/>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312" w:lineRule="auto"/>
              <w:jc w:val="center"/>
              <w:rPr>
                <w:rFonts w:hint="eastAsia" w:ascii="宋体" w:hAnsi="宋体" w:eastAsia="宋体" w:cs="宋体"/>
                <w:color w:val="auto"/>
                <w:szCs w:val="21"/>
                <w:highlight w:val="none"/>
              </w:rPr>
            </w:pPr>
          </w:p>
        </w:tc>
        <w:tc>
          <w:tcPr>
            <w:tcW w:w="2337" w:type="dxa"/>
            <w:vAlign w:val="bottom"/>
          </w:tcPr>
          <w:p>
            <w:pPr>
              <w:autoSpaceDE w:val="0"/>
              <w:autoSpaceDN w:val="0"/>
              <w:adjustRightInd w:val="0"/>
              <w:spacing w:line="312"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4321" w:type="dxa"/>
            <w:vAlign w:val="center"/>
          </w:tcPr>
          <w:p>
            <w:pPr>
              <w:autoSpaceDE w:val="0"/>
              <w:autoSpaceDN w:val="0"/>
              <w:adjustRightInd w:val="0"/>
              <w:spacing w:line="312" w:lineRule="auto"/>
              <w:rPr>
                <w:rFonts w:hint="eastAsia" w:ascii="宋体" w:hAnsi="宋体" w:eastAsia="宋体" w:cs="宋体"/>
                <w:color w:val="auto"/>
                <w:highlight w:val="none"/>
              </w:rPr>
            </w:pPr>
          </w:p>
        </w:tc>
        <w:tc>
          <w:tcPr>
            <w:tcW w:w="1980" w:type="dxa"/>
            <w:vAlign w:val="center"/>
          </w:tcPr>
          <w:p>
            <w:pPr>
              <w:spacing w:line="312" w:lineRule="auto"/>
              <w:jc w:val="center"/>
              <w:rPr>
                <w:rFonts w:hint="eastAsia" w:ascii="宋体" w:hAnsi="宋体" w:eastAsia="宋体" w:cs="宋体"/>
                <w:color w:val="auto"/>
                <w:szCs w:val="21"/>
                <w:highlight w:val="none"/>
              </w:rPr>
            </w:pPr>
          </w:p>
        </w:tc>
      </w:tr>
    </w:tbl>
    <w:p>
      <w:pPr>
        <w:spacing w:line="312" w:lineRule="auto"/>
        <w:jc w:val="left"/>
        <w:rPr>
          <w:rFonts w:hint="eastAsia" w:ascii="宋体" w:hAnsi="宋体" w:eastAsia="宋体" w:cs="宋体"/>
          <w:color w:val="auto"/>
          <w:szCs w:val="21"/>
          <w:highlight w:val="none"/>
        </w:rPr>
      </w:pPr>
    </w:p>
    <w:p>
      <w:pPr>
        <w:tabs>
          <w:tab w:val="left" w:pos="5060"/>
          <w:tab w:val="left" w:pos="5900"/>
        </w:tabs>
        <w:overflowPunct w:val="0"/>
        <w:adjustRightInd w:val="0"/>
        <w:snapToGrid w:val="0"/>
        <w:spacing w:line="312" w:lineRule="auto"/>
        <w:ind w:left="3578" w:leftChars="1704"/>
        <w:jc w:val="right"/>
        <w:rPr>
          <w:rFonts w:hint="eastAsia" w:ascii="宋体" w:hAnsi="宋体" w:eastAsia="宋体" w:cs="宋体"/>
          <w:color w:val="auto"/>
          <w:szCs w:val="21"/>
          <w:highlight w:val="none"/>
        </w:rPr>
      </w:pPr>
    </w:p>
    <w:p>
      <w:pPr>
        <w:spacing w:line="312" w:lineRule="auto"/>
        <w:jc w:val="left"/>
        <w:rPr>
          <w:rFonts w:hint="eastAsia" w:ascii="宋体" w:hAnsi="宋体" w:eastAsia="宋体" w:cs="宋体"/>
          <w:color w:val="auto"/>
          <w:szCs w:val="21"/>
          <w:highlight w:val="none"/>
        </w:rPr>
      </w:pPr>
    </w:p>
    <w:p>
      <w:pPr>
        <w:tabs>
          <w:tab w:val="left" w:pos="5060"/>
          <w:tab w:val="left" w:pos="5900"/>
        </w:tabs>
        <w:overflowPunct w:val="0"/>
        <w:adjustRightInd w:val="0"/>
        <w:snapToGrid w:val="0"/>
        <w:spacing w:line="312" w:lineRule="auto"/>
        <w:ind w:left="3578" w:leftChars="1704"/>
        <w:jc w:val="right"/>
        <w:rPr>
          <w:rFonts w:hint="eastAsia" w:ascii="宋体" w:hAnsi="宋体" w:eastAsia="宋体" w:cs="宋体"/>
          <w:color w:val="auto"/>
          <w:szCs w:val="21"/>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tabs>
          <w:tab w:val="left" w:pos="5060"/>
          <w:tab w:val="left" w:pos="5900"/>
        </w:tabs>
        <w:overflowPunct w:val="0"/>
        <w:spacing w:line="312" w:lineRule="auto"/>
        <w:ind w:left="3578" w:leftChars="1704"/>
        <w:jc w:val="left"/>
        <w:rPr>
          <w:rFonts w:hint="eastAsia" w:ascii="宋体" w:hAnsi="宋体" w:eastAsia="宋体" w:cs="宋体"/>
          <w:color w:val="auto"/>
          <w:sz w:val="20"/>
          <w:highlight w:val="none"/>
        </w:rPr>
      </w:pPr>
    </w:p>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spacing w:line="312" w:lineRule="auto"/>
        <w:jc w:val="center"/>
        <w:rPr>
          <w:rFonts w:hint="eastAsia" w:ascii="宋体" w:hAnsi="宋体" w:eastAsia="宋体" w:cs="宋体"/>
          <w:color w:val="auto"/>
          <w:sz w:val="24"/>
          <w:highlight w:val="none"/>
        </w:rPr>
      </w:pPr>
      <w:r>
        <w:rPr>
          <w:rFonts w:hint="eastAsia" w:ascii="宋体" w:hAnsi="宋体" w:eastAsia="宋体" w:cs="宋体"/>
          <w:b/>
          <w:color w:val="auto"/>
          <w:sz w:val="32"/>
          <w:highlight w:val="none"/>
        </w:rPr>
        <w:t>二、法定代表人身份证明</w:t>
      </w:r>
    </w:p>
    <w:p>
      <w:pPr>
        <w:autoSpaceDE w:val="0"/>
        <w:autoSpaceDN w:val="0"/>
        <w:adjustRightInd w:val="0"/>
        <w:spacing w:line="312" w:lineRule="auto"/>
        <w:jc w:val="left"/>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rPr>
        <w:t>投标人名称：</w:t>
      </w:r>
    </w:p>
    <w:p>
      <w:pPr>
        <w:autoSpaceDE w:val="0"/>
        <w:autoSpaceDN w:val="0"/>
        <w:adjustRightInd w:val="0"/>
        <w:spacing w:line="312" w:lineRule="auto"/>
        <w:jc w:val="left"/>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rPr>
        <w:t>单位性质：</w:t>
      </w:r>
    </w:p>
    <w:p>
      <w:pPr>
        <w:autoSpaceDE w:val="0"/>
        <w:autoSpaceDN w:val="0"/>
        <w:adjustRightInd w:val="0"/>
        <w:spacing w:line="312" w:lineRule="auto"/>
        <w:jc w:val="left"/>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rPr>
        <w:t>地址：</w:t>
      </w:r>
    </w:p>
    <w:p>
      <w:pPr>
        <w:autoSpaceDE w:val="0"/>
        <w:autoSpaceDN w:val="0"/>
        <w:adjustRightInd w:val="0"/>
        <w:spacing w:line="312"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成立时间：年月日</w:t>
      </w:r>
    </w:p>
    <w:p>
      <w:pPr>
        <w:autoSpaceDE w:val="0"/>
        <w:autoSpaceDN w:val="0"/>
        <w:adjustRightInd w:val="0"/>
        <w:spacing w:line="312" w:lineRule="auto"/>
        <w:jc w:val="left"/>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rPr>
        <w:t xml:space="preserve">经营期限： </w:t>
      </w:r>
    </w:p>
    <w:p>
      <w:pPr>
        <w:autoSpaceDE w:val="0"/>
        <w:autoSpaceDN w:val="0"/>
        <w:adjustRightInd w:val="0"/>
        <w:spacing w:line="312" w:lineRule="auto"/>
        <w:jc w:val="left"/>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rPr>
        <w:t>姓名：性别：年龄：职务：</w:t>
      </w:r>
    </w:p>
    <w:p>
      <w:pPr>
        <w:autoSpaceDE w:val="0"/>
        <w:autoSpaceDN w:val="0"/>
        <w:adjustRightInd w:val="0"/>
        <w:spacing w:line="312"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系</w:t>
      </w:r>
      <w:r>
        <w:rPr>
          <w:rFonts w:hint="eastAsia" w:ascii="宋体" w:hAnsi="宋体" w:eastAsia="宋体" w:cs="宋体"/>
          <w:bCs/>
          <w:color w:val="auto"/>
          <w:kern w:val="0"/>
          <w:szCs w:val="21"/>
          <w:highlight w:val="none"/>
          <w:u w:val="single"/>
        </w:rPr>
        <w:t xml:space="preserve">       (投标人名称)       </w:t>
      </w:r>
      <w:r>
        <w:rPr>
          <w:rFonts w:hint="eastAsia" w:ascii="宋体" w:hAnsi="宋体" w:eastAsia="宋体" w:cs="宋体"/>
          <w:bCs/>
          <w:color w:val="auto"/>
          <w:kern w:val="0"/>
          <w:szCs w:val="21"/>
          <w:highlight w:val="none"/>
        </w:rPr>
        <w:t>的法定代表人。</w:t>
      </w:r>
    </w:p>
    <w:p>
      <w:pPr>
        <w:autoSpaceDE w:val="0"/>
        <w:autoSpaceDN w:val="0"/>
        <w:adjustRightInd w:val="0"/>
        <w:spacing w:line="312"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特此证明。</w:t>
      </w: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highlight w:val="none"/>
        </w:rPr>
        <w:t>附：法定代表人身份证复印件。</w:t>
      </w: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tabs>
          <w:tab w:val="left" w:pos="6400"/>
        </w:tabs>
        <w:overflowPunct w:val="0"/>
        <w:spacing w:line="312" w:lineRule="auto"/>
        <w:ind w:left="4120"/>
        <w:jc w:val="left"/>
        <w:rPr>
          <w:rFonts w:hint="eastAsia" w:ascii="宋体" w:hAnsi="宋体" w:eastAsia="宋体" w:cs="宋体"/>
          <w:color w:val="auto"/>
          <w:sz w:val="24"/>
          <w:highlight w:val="none"/>
        </w:rPr>
      </w:pPr>
      <w:r>
        <w:rPr>
          <w:rFonts w:hint="eastAsia" w:ascii="宋体" w:hAnsi="宋体" w:eastAsia="宋体" w:cs="宋体"/>
          <w:color w:val="auto"/>
          <w:highlight w:val="none"/>
        </w:rPr>
        <w:t>投标人：</w:t>
      </w:r>
      <w:r>
        <w:rPr>
          <w:rFonts w:hint="eastAsia" w:ascii="宋体" w:hAnsi="宋体" w:eastAsia="宋体" w:cs="宋体"/>
          <w:color w:val="auto"/>
          <w:sz w:val="24"/>
          <w:highlight w:val="none"/>
        </w:rPr>
        <w:tab/>
      </w:r>
      <w:r>
        <w:rPr>
          <w:rFonts w:hint="eastAsia" w:ascii="宋体" w:hAnsi="宋体" w:eastAsia="宋体" w:cs="宋体"/>
          <w:color w:val="auto"/>
          <w:highlight w:val="none"/>
        </w:rPr>
        <w:t>（盖单位章）</w:t>
      </w:r>
    </w:p>
    <w:p>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3144520</wp:posOffset>
                </wp:positionH>
                <wp:positionV relativeFrom="paragraph">
                  <wp:posOffset>0</wp:posOffset>
                </wp:positionV>
                <wp:extent cx="932815" cy="0"/>
                <wp:effectExtent l="0" t="0" r="0" b="0"/>
                <wp:wrapNone/>
                <wp:docPr id="110" name="直接连接符 110"/>
                <wp:cNvGraphicFramePr/>
                <a:graphic xmlns:a="http://schemas.openxmlformats.org/drawingml/2006/main">
                  <a:graphicData uri="http://schemas.microsoft.com/office/word/2010/wordprocessingShape">
                    <wps:wsp>
                      <wps:cNvCnPr/>
                      <wps:spPr>
                        <a:xfrm>
                          <a:off x="0" y="0"/>
                          <a:ext cx="93281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7.6pt;margin-top:0pt;height:0pt;width:73.45pt;z-index:-251653120;mso-width-relative:page;mso-height-relative:page;" filled="f" stroked="t" coordsize="21600,21600" o:gfxdata="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FmT9UAAAAFAQAADwAAAAAAAAABACAAAAAiAAAAZHJzL2Rvd25yZXYueG1sUEsBAhQAFAAA&#10;AAgAh07iQITCT9PyAQAA6QMAAA4AAAAAAAAAAQAgAAAAJAEAAGRycy9lMm9Eb2MueG1sUEsFBgAA&#10;AAAGAAYAWQEAAIgFAAAAAA==&#10;">
                <v:fill on="f" focussize="0,0"/>
                <v:stroke weight="0.48pt" color="#000000" joinstyle="round"/>
                <v:imagedata o:title=""/>
                <o:lock v:ext="edit" aspectratio="f"/>
              </v:line>
            </w:pict>
          </mc:Fallback>
        </mc:AlternateContent>
      </w:r>
    </w:p>
    <w:p>
      <w:pPr>
        <w:spacing w:line="312" w:lineRule="auto"/>
        <w:jc w:val="left"/>
        <w:rPr>
          <w:rFonts w:hint="eastAsia" w:ascii="宋体" w:hAnsi="宋体" w:eastAsia="宋体" w:cs="宋体"/>
          <w:color w:val="auto"/>
          <w:sz w:val="24"/>
          <w:highlight w:val="none"/>
        </w:rPr>
      </w:pPr>
    </w:p>
    <w:p>
      <w:pPr>
        <w:tabs>
          <w:tab w:val="left" w:pos="6080"/>
          <w:tab w:val="left" w:pos="6920"/>
        </w:tabs>
        <w:spacing w:line="312" w:lineRule="auto"/>
        <w:ind w:left="5260"/>
        <w:jc w:val="left"/>
        <w:rPr>
          <w:rFonts w:hint="eastAsia" w:ascii="宋体" w:hAnsi="宋体" w:eastAsia="宋体" w:cs="宋体"/>
          <w:color w:val="auto"/>
          <w:sz w:val="24"/>
          <w:highlight w:val="none"/>
        </w:rPr>
      </w:pPr>
      <w:r>
        <w:rPr>
          <w:rFonts w:hint="eastAsia" w:ascii="宋体" w:hAnsi="宋体" w:eastAsia="宋体" w:cs="宋体"/>
          <w:color w:val="auto"/>
          <w:highlight w:val="none"/>
        </w:rPr>
        <w:t>年</w:t>
      </w:r>
      <w:r>
        <w:rPr>
          <w:rFonts w:hint="eastAsia" w:ascii="宋体" w:hAnsi="宋体" w:eastAsia="宋体" w:cs="宋体"/>
          <w:color w:val="auto"/>
          <w:sz w:val="24"/>
          <w:highlight w:val="none"/>
        </w:rPr>
        <w:tab/>
      </w:r>
      <w:r>
        <w:rPr>
          <w:rFonts w:hint="eastAsia" w:ascii="宋体" w:hAnsi="宋体" w:eastAsia="宋体" w:cs="宋体"/>
          <w:color w:val="auto"/>
          <w:highlight w:val="none"/>
        </w:rPr>
        <w:t>月</w:t>
      </w:r>
      <w:r>
        <w:rPr>
          <w:rFonts w:hint="eastAsia" w:ascii="宋体" w:hAnsi="宋体" w:eastAsia="宋体" w:cs="宋体"/>
          <w:color w:val="auto"/>
          <w:sz w:val="24"/>
          <w:highlight w:val="none"/>
        </w:rPr>
        <w:tab/>
      </w:r>
      <w:r>
        <w:rPr>
          <w:rFonts w:hint="eastAsia" w:ascii="宋体" w:hAnsi="宋体" w:eastAsia="宋体" w:cs="宋体"/>
          <w:color w:val="auto"/>
          <w:sz w:val="20"/>
          <w:highlight w:val="none"/>
        </w:rPr>
        <w:t>日</w:t>
      </w:r>
    </w:p>
    <w:p>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4384" behindDoc="1" locked="0" layoutInCell="1" allowOverlap="1">
                <wp:simplePos x="0" y="0"/>
                <wp:positionH relativeFrom="column">
                  <wp:posOffset>2934335</wp:posOffset>
                </wp:positionH>
                <wp:positionV relativeFrom="paragraph">
                  <wp:posOffset>0</wp:posOffset>
                </wp:positionV>
                <wp:extent cx="400685" cy="0"/>
                <wp:effectExtent l="0" t="0" r="0" b="0"/>
                <wp:wrapNone/>
                <wp:docPr id="111" name="直接连接符 111"/>
                <wp:cNvGraphicFramePr/>
                <a:graphic xmlns:a="http://schemas.openxmlformats.org/drawingml/2006/main">
                  <a:graphicData uri="http://schemas.microsoft.com/office/word/2010/wordprocessingShape">
                    <wps:wsp>
                      <wps:cNvCnPr/>
                      <wps:spPr>
                        <a:xfrm>
                          <a:off x="0" y="0"/>
                          <a:ext cx="40068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1.05pt;margin-top:0pt;height:0pt;width:31.55pt;z-index:-251652096;mso-width-relative:page;mso-height-relative:page;" filled="f" stroked="t" coordsize="21600,21600" o:gfxdata="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VlTG9UAAAAFAQAADwAAAAAAAAABACAAAAAiAAAAZHJzL2Rvd25yZXYueG1sUEsBAhQAFAAA&#10;AAgAh07iQAqu6qbyAQAA6QMAAA4AAAAAAAAAAQAgAAAAJAEAAGRycy9lMm9Eb2MueG1sUEsFBgAA&#10;AAAGAAYAWQEAAIgFAAAAAA==&#10;">
                <v:fill on="f" focussize="0,0"/>
                <v:stroke weight="0.48pt" color="#000000" joinstyle="round"/>
                <v:imagedata o:title=""/>
                <o:lock v:ext="edit" aspectratio="f"/>
              </v:lin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5408" behindDoc="1" locked="0" layoutInCell="1" allowOverlap="1">
                <wp:simplePos x="0" y="0"/>
                <wp:positionH relativeFrom="column">
                  <wp:posOffset>3469005</wp:posOffset>
                </wp:positionH>
                <wp:positionV relativeFrom="paragraph">
                  <wp:posOffset>0</wp:posOffset>
                </wp:positionV>
                <wp:extent cx="399415" cy="0"/>
                <wp:effectExtent l="0" t="0" r="0" b="0"/>
                <wp:wrapNone/>
                <wp:docPr id="112" name="直接连接符 112"/>
                <wp:cNvGraphicFramePr/>
                <a:graphic xmlns:a="http://schemas.openxmlformats.org/drawingml/2006/main">
                  <a:graphicData uri="http://schemas.microsoft.com/office/word/2010/wordprocessingShape">
                    <wps:wsp>
                      <wps:cNvCnPr/>
                      <wps:spPr>
                        <a:xfrm>
                          <a:off x="0" y="0"/>
                          <a:ext cx="39941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3.15pt;margin-top:0pt;height:0pt;width:31.45pt;z-index:-251651072;mso-width-relative:page;mso-height-relative:page;" filled="f" stroked="t" coordsize="21600,21600" o:gfxdata="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UZ99tUAAAAFAQAADwAAAAAAAAABACAAAAAiAAAAZHJzL2Rvd25yZXYueG1sUEsBAhQAFAAA&#10;AAgAh07iQO6/BknyAQAA6QMAAA4AAAAAAAAAAQAgAAAAJAEAAGRycy9lMm9Eb2MueG1sUEsFBgAA&#10;AAAGAAYAWQEAAIgFAAAAAA==&#10;">
                <v:fill on="f" focussize="0,0"/>
                <v:stroke weight="0.48pt" color="#000000" joinstyle="round"/>
                <v:imagedata o:title=""/>
                <o:lock v:ext="edit" aspectratio="f"/>
              </v:lin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6432" behindDoc="1" locked="0" layoutInCell="1" allowOverlap="1">
                <wp:simplePos x="0" y="0"/>
                <wp:positionH relativeFrom="column">
                  <wp:posOffset>4002405</wp:posOffset>
                </wp:positionH>
                <wp:positionV relativeFrom="paragraph">
                  <wp:posOffset>0</wp:posOffset>
                </wp:positionV>
                <wp:extent cx="399415" cy="0"/>
                <wp:effectExtent l="0" t="0" r="0" b="0"/>
                <wp:wrapNone/>
                <wp:docPr id="113" name="直接连接符 113"/>
                <wp:cNvGraphicFramePr/>
                <a:graphic xmlns:a="http://schemas.openxmlformats.org/drawingml/2006/main">
                  <a:graphicData uri="http://schemas.microsoft.com/office/word/2010/wordprocessingShape">
                    <wps:wsp>
                      <wps:cNvCnPr/>
                      <wps:spPr>
                        <a:xfrm>
                          <a:off x="0" y="0"/>
                          <a:ext cx="39941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15.15pt;margin-top:0pt;height:0pt;width:31.45pt;z-index:-251650048;mso-width-relative:page;mso-height-relative:page;" filled="f" stroked="t" coordsize="21600,21600" o:gfxdata="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kNiB/VAAAABQEAAA8AAAAAAAAAAQAgAAAAIgAAAGRycy9kb3ducmV2LnhtbFBLAQIUABQA&#10;AAAIAIdO4kCYt5zH8wEAAOkDAAAOAAAAAAAAAAEAIAAAACQBAABkcnMvZTJvRG9jLnhtbFBLBQYA&#10;AAAABgAGAFkBAACJBQAAAAA=&#10;">
                <v:fill on="f" focussize="0,0"/>
                <v:stroke weight="0.48pt" color="#000000" joinstyle="round"/>
                <v:imagedata o:title=""/>
                <o:lock v:ext="edit" aspectratio="f"/>
              </v:line>
            </w:pict>
          </mc:Fallback>
        </mc:AlternateContent>
      </w:r>
    </w:p>
    <w:p>
      <w:pPr>
        <w:spacing w:line="312" w:lineRule="auto"/>
        <w:jc w:val="left"/>
        <w:rPr>
          <w:rFonts w:hint="eastAsia" w:ascii="宋体" w:hAnsi="宋体" w:eastAsia="宋体" w:cs="宋体"/>
          <w:color w:val="auto"/>
          <w:sz w:val="24"/>
          <w:highlight w:val="none"/>
        </w:rPr>
      </w:pPr>
    </w:p>
    <w:p>
      <w:pPr>
        <w:spacing w:line="312" w:lineRule="auto"/>
        <w:ind w:left="3200"/>
        <w:jc w:val="left"/>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spacing w:line="312" w:lineRule="auto"/>
        <w:ind w:left="3200"/>
        <w:jc w:val="left"/>
        <w:rPr>
          <w:rFonts w:hint="eastAsia" w:ascii="宋体" w:hAnsi="宋体" w:eastAsia="宋体" w:cs="宋体"/>
          <w:color w:val="auto"/>
          <w:sz w:val="24"/>
          <w:highlight w:val="none"/>
        </w:rPr>
      </w:pPr>
      <w:r>
        <w:rPr>
          <w:rFonts w:hint="eastAsia" w:ascii="宋体" w:hAnsi="宋体" w:eastAsia="宋体" w:cs="宋体"/>
          <w:b/>
          <w:color w:val="auto"/>
          <w:sz w:val="32"/>
          <w:highlight w:val="none"/>
        </w:rPr>
        <w:t>授权委托书</w:t>
      </w:r>
    </w:p>
    <w:p>
      <w:pPr>
        <w:widowControl w:val="0"/>
        <w:topLinePunct/>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（姓名）系</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（投标人名称）的法定代表人，现委托</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（姓名）为我方代理人。代理人根据授权，以我方名义签署、澄清、说明、补正、递交、撤回、修改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（项目名称）投标文件、签订合同和处理有关事宜，其法律后果由我方承担。</w:t>
      </w:r>
    </w:p>
    <w:p>
      <w:pPr>
        <w:widowControl w:val="0"/>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委托期限：</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widowControl w:val="0"/>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代理人无转委托权。</w:t>
      </w:r>
    </w:p>
    <w:p>
      <w:pPr>
        <w:spacing w:line="312" w:lineRule="auto"/>
        <w:jc w:val="left"/>
        <w:rPr>
          <w:rFonts w:hint="eastAsia" w:ascii="宋体" w:hAnsi="宋体" w:eastAsia="宋体" w:cs="宋体"/>
          <w:color w:val="auto"/>
          <w:w w:val="99"/>
          <w:highlight w:val="none"/>
        </w:rPr>
      </w:pPr>
      <w:r>
        <w:rPr>
          <w:rFonts w:hint="eastAsia" w:ascii="宋体" w:hAnsi="宋体" w:eastAsia="宋体" w:cs="宋体"/>
          <w:color w:val="auto"/>
          <w:highlight w:val="none"/>
        </w:rPr>
        <w:t>。</w:t>
      </w: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附：法定代表人身份证复印件、委托代理人身份证复印件</w:t>
      </w:r>
    </w:p>
    <w:p>
      <w:pPr>
        <w:pStyle w:val="6"/>
        <w:rPr>
          <w:rFonts w:hint="eastAsia" w:ascii="宋体" w:hAnsi="宋体" w:eastAsia="宋体" w:cs="宋体"/>
          <w:color w:val="auto"/>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overflowPunct w:val="0"/>
        <w:spacing w:line="312" w:lineRule="auto"/>
        <w:ind w:right="100"/>
        <w:jc w:val="left"/>
        <w:rPr>
          <w:rFonts w:hint="eastAsia" w:ascii="宋体" w:hAnsi="宋体" w:eastAsia="宋体" w:cs="宋体"/>
          <w:color w:val="auto"/>
          <w:highlight w:val="none"/>
        </w:rPr>
      </w:pPr>
      <w:r>
        <w:rPr>
          <w:rFonts w:hint="eastAsia" w:ascii="宋体" w:hAnsi="宋体" w:eastAsia="宋体" w:cs="宋体"/>
          <w:color w:val="auto"/>
          <w:highlight w:val="none"/>
        </w:rPr>
        <w:t>注：本授权委托书需由投标人加盖单位公章并由其法定代表人和委托代理人签字。</w:t>
      </w:r>
    </w:p>
    <w:p>
      <w:pPr>
        <w:overflowPunct w:val="0"/>
        <w:spacing w:line="312" w:lineRule="auto"/>
        <w:ind w:right="100"/>
        <w:jc w:val="left"/>
        <w:rPr>
          <w:rFonts w:hint="eastAsia" w:ascii="宋体" w:hAnsi="宋体" w:eastAsia="宋体" w:cs="宋体"/>
          <w:color w:val="auto"/>
          <w:highlight w:val="none"/>
        </w:rPr>
      </w:pPr>
    </w:p>
    <w:p>
      <w:pPr>
        <w:overflowPunct w:val="0"/>
        <w:adjustRightInd w:val="0"/>
        <w:snapToGrid w:val="0"/>
        <w:spacing w:line="312" w:lineRule="auto"/>
        <w:ind w:left="4418" w:leftChars="2104" w:right="100"/>
        <w:jc w:val="left"/>
        <w:rPr>
          <w:rFonts w:hint="eastAsia" w:ascii="宋体" w:hAnsi="宋体" w:eastAsia="宋体" w:cs="宋体"/>
          <w:color w:val="auto"/>
          <w:highlight w:val="none"/>
        </w:rPr>
      </w:pPr>
      <w:r>
        <w:rPr>
          <w:rFonts w:hint="eastAsia" w:ascii="宋体" w:hAnsi="宋体" w:eastAsia="宋体" w:cs="宋体"/>
          <w:color w:val="auto"/>
          <w:highlight w:val="none"/>
        </w:rPr>
        <w:t>投标人：（盖单位章）</w:t>
      </w:r>
    </w:p>
    <w:p>
      <w:pPr>
        <w:overflowPunct w:val="0"/>
        <w:adjustRightInd w:val="0"/>
        <w:snapToGrid w:val="0"/>
        <w:spacing w:line="312" w:lineRule="auto"/>
        <w:ind w:left="4418" w:leftChars="2104" w:right="100"/>
        <w:jc w:val="left"/>
        <w:rPr>
          <w:rFonts w:hint="eastAsia" w:ascii="宋体" w:hAnsi="宋体" w:eastAsia="宋体" w:cs="宋体"/>
          <w:color w:val="auto"/>
          <w:highlight w:val="none"/>
        </w:rPr>
      </w:pPr>
      <w:r>
        <w:rPr>
          <w:rFonts w:hint="eastAsia" w:ascii="宋体" w:hAnsi="宋体" w:eastAsia="宋体" w:cs="宋体"/>
          <w:color w:val="auto"/>
          <w:highlight w:val="none"/>
        </w:rPr>
        <w:t>法定代表人：（签字）</w:t>
      </w:r>
    </w:p>
    <w:p>
      <w:pPr>
        <w:overflowPunct w:val="0"/>
        <w:adjustRightInd w:val="0"/>
        <w:snapToGrid w:val="0"/>
        <w:spacing w:line="312" w:lineRule="auto"/>
        <w:ind w:left="4418" w:leftChars="2104" w:right="100"/>
        <w:jc w:val="left"/>
        <w:rPr>
          <w:rFonts w:hint="eastAsia" w:ascii="宋体" w:hAnsi="宋体" w:eastAsia="宋体" w:cs="宋体"/>
          <w:color w:val="auto"/>
          <w:highlight w:val="none"/>
        </w:rPr>
      </w:pPr>
      <w:r>
        <w:rPr>
          <w:rFonts w:hint="eastAsia" w:ascii="宋体" w:hAnsi="宋体" w:eastAsia="宋体" w:cs="宋体"/>
          <w:color w:val="auto"/>
          <w:highlight w:val="none"/>
        </w:rPr>
        <w:t>身份证号码：</w:t>
      </w:r>
    </w:p>
    <w:p>
      <w:pPr>
        <w:adjustRightInd w:val="0"/>
        <w:snapToGrid w:val="0"/>
        <w:spacing w:line="312" w:lineRule="auto"/>
        <w:ind w:left="4418" w:leftChars="2104"/>
        <w:jc w:val="left"/>
        <w:rPr>
          <w:rFonts w:hint="eastAsia" w:ascii="宋体" w:hAnsi="宋体" w:eastAsia="宋体" w:cs="宋体"/>
          <w:color w:val="auto"/>
          <w:highlight w:val="none"/>
        </w:rPr>
      </w:pPr>
      <w:r>
        <w:rPr>
          <w:rFonts w:hint="eastAsia" w:ascii="宋体" w:hAnsi="宋体" w:eastAsia="宋体" w:cs="宋体"/>
          <w:color w:val="auto"/>
          <w:highlight w:val="none"/>
        </w:rPr>
        <w:t>委托代理人：（签字）</w:t>
      </w:r>
    </w:p>
    <w:p>
      <w:pPr>
        <w:adjustRightInd w:val="0"/>
        <w:snapToGrid w:val="0"/>
        <w:spacing w:line="312" w:lineRule="auto"/>
        <w:ind w:left="4418" w:leftChars="2104"/>
        <w:jc w:val="left"/>
        <w:rPr>
          <w:rFonts w:hint="eastAsia" w:ascii="宋体" w:hAnsi="宋体" w:eastAsia="宋体" w:cs="宋体"/>
          <w:color w:val="auto"/>
          <w:highlight w:val="none"/>
        </w:rPr>
      </w:pPr>
      <w:r>
        <w:rPr>
          <w:rFonts w:hint="eastAsia" w:ascii="宋体" w:hAnsi="宋体" w:eastAsia="宋体" w:cs="宋体"/>
          <w:color w:val="auto"/>
          <w:highlight w:val="none"/>
        </w:rPr>
        <w:t>身份证号码：</w:t>
      </w: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tabs>
          <w:tab w:val="left" w:pos="6080"/>
          <w:tab w:val="left" w:pos="6920"/>
        </w:tabs>
        <w:spacing w:line="312" w:lineRule="auto"/>
        <w:ind w:left="526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9504" behindDoc="1" locked="0" layoutInCell="1" allowOverlap="1">
                <wp:simplePos x="0" y="0"/>
                <wp:positionH relativeFrom="column">
                  <wp:posOffset>3956685</wp:posOffset>
                </wp:positionH>
                <wp:positionV relativeFrom="paragraph">
                  <wp:posOffset>206375</wp:posOffset>
                </wp:positionV>
                <wp:extent cx="466725" cy="0"/>
                <wp:effectExtent l="0" t="0" r="0" b="0"/>
                <wp:wrapNone/>
                <wp:docPr id="116" name="直接连接符 116"/>
                <wp:cNvGraphicFramePr/>
                <a:graphic xmlns:a="http://schemas.openxmlformats.org/drawingml/2006/main">
                  <a:graphicData uri="http://schemas.microsoft.com/office/word/2010/wordprocessingShape">
                    <wps:wsp>
                      <wps:cNvCnPr/>
                      <wps:spPr>
                        <a:xfrm>
                          <a:off x="0" y="0"/>
                          <a:ext cx="466725"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11.55pt;margin-top:16.25pt;height:0pt;width:36.75pt;z-index:-251646976;mso-width-relative:page;mso-height-relative:page;" filled="f" stroked="t" coordsize="21600,21600" o:gfxdata="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QeOotUAAAAJAQAADwAAAAAAAAABACAAAAAiAAAAZHJzL2Rvd25yZXYueG1sUEsBAhQAFAAA&#10;AAgAh07iQN2312XyAQAA6QMAAA4AAAAAAAAAAQAgAAAAJAEAAGRycy9lMm9Eb2MueG1sUEsFBgAA&#10;AAAGAAYAWQEAAIgFA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8480" behindDoc="1" locked="0" layoutInCell="1" allowOverlap="1">
                <wp:simplePos x="0" y="0"/>
                <wp:positionH relativeFrom="column">
                  <wp:posOffset>3416935</wp:posOffset>
                </wp:positionH>
                <wp:positionV relativeFrom="paragraph">
                  <wp:posOffset>206375</wp:posOffset>
                </wp:positionV>
                <wp:extent cx="466090" cy="0"/>
                <wp:effectExtent l="0" t="0" r="0" b="0"/>
                <wp:wrapNone/>
                <wp:docPr id="115" name="直接连接符 115"/>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69.05pt;margin-top:16.25pt;height:0pt;width:36.7pt;z-index:-251648000;mso-width-relative:page;mso-height-relative:page;" filled="f" stroked="t" coordsize="21600,21600" o:gfxdata="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bWgXNQAAAAJAQAADwAAAAAAAAABACAAAAAiAAAAZHJzL2Rvd25yZXYueG1sUEsBAhQAFAAAAAgA&#10;h07iQCnDaqfwAQAA6QMAAA4AAAAAAAAAAQAgAAAAIwEAAGRycy9lMm9Eb2MueG1sUEsFBgAAAAAG&#10;AAYAWQEAAIUFA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7456" behindDoc="1" locked="0" layoutInCell="1" allowOverlap="1">
                <wp:simplePos x="0" y="0"/>
                <wp:positionH relativeFrom="column">
                  <wp:posOffset>2857500</wp:posOffset>
                </wp:positionH>
                <wp:positionV relativeFrom="paragraph">
                  <wp:posOffset>206375</wp:posOffset>
                </wp:positionV>
                <wp:extent cx="467360" cy="0"/>
                <wp:effectExtent l="0" t="0" r="0" b="0"/>
                <wp:wrapNone/>
                <wp:docPr id="114" name="直接连接符 114"/>
                <wp:cNvGraphicFramePr/>
                <a:graphic xmlns:a="http://schemas.openxmlformats.org/drawingml/2006/main">
                  <a:graphicData uri="http://schemas.microsoft.com/office/word/2010/wordprocessingShape">
                    <wps:wsp>
                      <wps:cNvCnPr/>
                      <wps:spPr>
                        <a:xfrm>
                          <a:off x="0" y="0"/>
                          <a:ext cx="46736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25pt;margin-top:16.25pt;height:0pt;width:36.8pt;z-index:-251649024;mso-width-relative:page;mso-height-relative:page;" filled="f" stroked="t" coordsize="21600,21600" o:gfxdata="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8RhYnVAAAACQEAAA8AAAAAAAAAAQAgAAAAIgAAAGRycy9kb3ducmV2LnhtbFBLAQIUABQA&#10;AAAIAIdO4kAO3lnu8wEAAOkDAAAOAAAAAAAAAAEAIAAAACQBAABkcnMvZTJvRG9jLnhtbFBLBQYA&#10;AAAABgAGAFkBAACJBQAAAAA=&#10;">
                <v:fill on="f" focussize="0,0"/>
                <v:stroke weight="0.47992125984252pt" color="#000000" joinstyle="round"/>
                <v:imagedata o:title=""/>
                <o:lock v:ext="edit" aspectratio="f"/>
              </v:line>
            </w:pict>
          </mc:Fallback>
        </mc:AlternateContent>
      </w:r>
      <w:r>
        <w:rPr>
          <w:rFonts w:hint="eastAsia" w:ascii="宋体" w:hAnsi="宋体" w:eastAsia="宋体" w:cs="宋体"/>
          <w:color w:val="auto"/>
          <w:highlight w:val="none"/>
        </w:rPr>
        <w:t>年</w:t>
      </w:r>
      <w:r>
        <w:rPr>
          <w:rFonts w:hint="eastAsia" w:ascii="宋体" w:hAnsi="宋体" w:eastAsia="宋体" w:cs="宋体"/>
          <w:color w:val="auto"/>
          <w:sz w:val="24"/>
          <w:highlight w:val="none"/>
        </w:rPr>
        <w:tab/>
      </w:r>
      <w:r>
        <w:rPr>
          <w:rFonts w:hint="eastAsia" w:ascii="宋体" w:hAnsi="宋体" w:eastAsia="宋体" w:cs="宋体"/>
          <w:color w:val="auto"/>
          <w:highlight w:val="none"/>
        </w:rPr>
        <w:t>月</w:t>
      </w:r>
      <w:r>
        <w:rPr>
          <w:rFonts w:hint="eastAsia" w:ascii="宋体" w:hAnsi="宋体" w:eastAsia="宋体" w:cs="宋体"/>
          <w:color w:val="auto"/>
          <w:sz w:val="24"/>
          <w:highlight w:val="none"/>
        </w:rPr>
        <w:tab/>
      </w:r>
      <w:r>
        <w:rPr>
          <w:rFonts w:hint="eastAsia" w:ascii="宋体" w:hAnsi="宋体" w:eastAsia="宋体" w:cs="宋体"/>
          <w:color w:val="auto"/>
          <w:sz w:val="20"/>
          <w:highlight w:val="none"/>
        </w:rPr>
        <w:t>日</w:t>
      </w:r>
    </w:p>
    <w:p>
      <w:pPr>
        <w:spacing w:line="312" w:lineRule="auto"/>
        <w:jc w:val="left"/>
        <w:rPr>
          <w:rFonts w:hint="eastAsia" w:ascii="宋体" w:hAnsi="宋体" w:eastAsia="宋体" w:cs="宋体"/>
          <w:color w:val="auto"/>
          <w:sz w:val="24"/>
          <w:highlight w:val="none"/>
        </w:rPr>
      </w:pPr>
    </w:p>
    <w:p>
      <w:pPr>
        <w:pStyle w:val="4"/>
        <w:spacing w:line="312" w:lineRule="auto"/>
        <w:jc w:val="center"/>
        <w:rPr>
          <w:rFonts w:hint="eastAsia" w:ascii="宋体" w:hAnsi="宋体" w:eastAsia="宋体" w:cs="宋体"/>
          <w:color w:val="auto"/>
          <w:highlight w:val="none"/>
        </w:rPr>
      </w:pPr>
      <w:bookmarkStart w:id="25" w:name="_Toc449519141"/>
      <w:bookmarkStart w:id="26" w:name="_Toc10328"/>
      <w:bookmarkStart w:id="27" w:name="_Toc25288"/>
      <w:r>
        <w:rPr>
          <w:rFonts w:hint="eastAsia" w:ascii="宋体" w:hAnsi="宋体" w:eastAsia="宋体" w:cs="宋体"/>
          <w:color w:val="auto"/>
          <w:highlight w:val="none"/>
        </w:rPr>
        <w:t>三、开标一览表</w:t>
      </w:r>
      <w:bookmarkEnd w:id="25"/>
      <w:bookmarkEnd w:id="26"/>
      <w:bookmarkEnd w:id="27"/>
    </w:p>
    <w:p>
      <w:pPr>
        <w:spacing w:line="312" w:lineRule="auto"/>
        <w:ind w:left="-2" w:leftChars="-1" w:firstLine="105" w:firstLine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 目 名 称 ：</w:t>
      </w:r>
    </w:p>
    <w:p>
      <w:pPr>
        <w:spacing w:line="312" w:lineRule="auto"/>
        <w:ind w:left="-2" w:leftChars="-1"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招标项目编号：</w:t>
      </w:r>
    </w:p>
    <w:tbl>
      <w:tblPr>
        <w:tblStyle w:val="28"/>
        <w:tblW w:w="94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0"/>
        <w:gridCol w:w="2510"/>
        <w:gridCol w:w="1800"/>
        <w:gridCol w:w="3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bookmarkStart w:id="28" w:name="page76"/>
            <w:bookmarkEnd w:id="28"/>
            <w:r>
              <w:rPr>
                <w:rFonts w:hint="eastAsia" w:ascii="宋体" w:hAnsi="宋体" w:eastAsia="宋体" w:cs="宋体"/>
                <w:color w:val="auto"/>
                <w:szCs w:val="21"/>
                <w:highlight w:val="none"/>
              </w:rPr>
              <w:t>投标单位</w:t>
            </w:r>
          </w:p>
        </w:tc>
        <w:tc>
          <w:tcPr>
            <w:tcW w:w="753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报价（美元）</w:t>
            </w:r>
          </w:p>
        </w:tc>
        <w:tc>
          <w:tcPr>
            <w:tcW w:w="753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（有/无）</w:t>
            </w:r>
          </w:p>
        </w:tc>
        <w:tc>
          <w:tcPr>
            <w:tcW w:w="251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供货期</w:t>
            </w:r>
          </w:p>
        </w:tc>
        <w:tc>
          <w:tcPr>
            <w:tcW w:w="322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251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符合相关国际标准及招标文件要求</w:t>
            </w:r>
            <w:r>
              <w:rPr>
                <w:rFonts w:hint="eastAsia" w:ascii="宋体" w:hAnsi="宋体" w:eastAsia="宋体" w:cs="宋体"/>
                <w:color w:val="auto"/>
                <w:szCs w:val="21"/>
                <w:highlight w:val="none"/>
              </w:rPr>
              <w:t xml:space="preserve"> </w:t>
            </w:r>
          </w:p>
        </w:tc>
        <w:tc>
          <w:tcPr>
            <w:tcW w:w="18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p>
        </w:tc>
        <w:tc>
          <w:tcPr>
            <w:tcW w:w="322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运输方式</w:t>
            </w:r>
          </w:p>
        </w:tc>
        <w:tc>
          <w:tcPr>
            <w:tcW w:w="251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空运</w:t>
            </w:r>
          </w:p>
        </w:tc>
        <w:tc>
          <w:tcPr>
            <w:tcW w:w="18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生产厂家名称</w:t>
            </w:r>
          </w:p>
        </w:tc>
        <w:tc>
          <w:tcPr>
            <w:tcW w:w="322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原产地</w:t>
            </w:r>
          </w:p>
          <w:p>
            <w:pPr>
              <w:spacing w:line="288" w:lineRule="auto"/>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（国籍/地区）</w:t>
            </w:r>
          </w:p>
        </w:tc>
        <w:tc>
          <w:tcPr>
            <w:tcW w:w="2510" w:type="dxa"/>
            <w:tcBorders>
              <w:top w:val="single" w:color="auto" w:sz="4" w:space="0"/>
              <w:left w:val="single" w:color="auto" w:sz="4" w:space="0"/>
              <w:bottom w:val="single" w:color="auto" w:sz="4" w:space="0"/>
              <w:right w:val="single" w:color="auto" w:sz="4" w:space="0"/>
            </w:tcBorders>
          </w:tcPr>
          <w:p>
            <w:pPr>
              <w:spacing w:line="288" w:lineRule="auto"/>
              <w:ind w:left="360"/>
              <w:rPr>
                <w:rFonts w:hint="eastAsia"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主要产品名称及品牌、规格型号</w:t>
            </w:r>
          </w:p>
        </w:tc>
        <w:tc>
          <w:tcPr>
            <w:tcW w:w="322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531" w:type="dxa"/>
            <w:gridSpan w:val="3"/>
            <w:tcBorders>
              <w:top w:val="single" w:color="auto" w:sz="4" w:space="0"/>
              <w:left w:val="single" w:color="auto" w:sz="4" w:space="0"/>
              <w:bottom w:val="single" w:color="auto" w:sz="4" w:space="0"/>
              <w:right w:val="single" w:color="auto" w:sz="4" w:space="0"/>
            </w:tcBorders>
          </w:tcPr>
          <w:p>
            <w:pPr>
              <w:widowControl w:val="0"/>
              <w:numPr>
                <w:ilvl w:val="0"/>
                <w:numId w:val="9"/>
              </w:num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本表只做唱标时使用，但本表的一切内容均具有法律效力，不得更改。</w:t>
            </w:r>
          </w:p>
          <w:p>
            <w:pPr>
              <w:widowControl w:val="0"/>
              <w:numPr>
                <w:ilvl w:val="0"/>
                <w:numId w:val="9"/>
              </w:num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填报的内容必须和投标文件及投标函中的内容一致。</w:t>
            </w:r>
          </w:p>
          <w:p>
            <w:pPr>
              <w:widowControl w:val="0"/>
              <w:numPr>
                <w:ilvl w:val="0"/>
                <w:numId w:val="9"/>
              </w:numPr>
              <w:spacing w:line="312"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投标报价以美元为单位。</w:t>
            </w:r>
          </w:p>
          <w:p>
            <w:pPr>
              <w:widowControl w:val="0"/>
              <w:numPr>
                <w:ilvl w:val="0"/>
                <w:numId w:val="9"/>
              </w:numPr>
              <w:spacing w:line="312"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本表为开标时唱标用，除在投标文件中包含外，应单独用信封密封、送达</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jc w:val="center"/>
        </w:trPr>
        <w:tc>
          <w:tcPr>
            <w:tcW w:w="9441"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eastAsia="宋体" w:cs="宋体"/>
                <w:color w:val="auto"/>
                <w:szCs w:val="21"/>
                <w:highlight w:val="none"/>
              </w:rPr>
            </w:pP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        （盖章）                 法定代表人或委托代理人：        （签字或盖章）</w:t>
            </w:r>
          </w:p>
          <w:p>
            <w:pPr>
              <w:spacing w:line="312" w:lineRule="auto"/>
              <w:rPr>
                <w:rFonts w:hint="eastAsia" w:ascii="宋体" w:hAnsi="宋体" w:eastAsia="宋体" w:cs="宋体"/>
                <w:color w:val="auto"/>
                <w:szCs w:val="21"/>
                <w:highlight w:val="none"/>
              </w:rPr>
            </w:pPr>
          </w:p>
        </w:tc>
      </w:tr>
    </w:tbl>
    <w:p>
      <w:pPr>
        <w:spacing w:line="312" w:lineRule="auto"/>
        <w:ind w:left="3200"/>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spacing w:line="312" w:lineRule="auto"/>
        <w:ind w:left="3200"/>
        <w:jc w:val="left"/>
        <w:rPr>
          <w:rFonts w:hint="eastAsia" w:ascii="宋体" w:hAnsi="宋体" w:eastAsia="宋体" w:cs="宋体"/>
          <w:color w:val="auto"/>
          <w:sz w:val="24"/>
          <w:highlight w:val="none"/>
        </w:rPr>
      </w:pPr>
      <w:r>
        <w:rPr>
          <w:rFonts w:hint="eastAsia" w:ascii="宋体" w:hAnsi="宋体" w:eastAsia="宋体" w:cs="宋体"/>
          <w:b/>
          <w:color w:val="auto"/>
          <w:sz w:val="32"/>
          <w:highlight w:val="none"/>
        </w:rPr>
        <w:t>四、投标保证金</w:t>
      </w:r>
    </w:p>
    <w:p>
      <w:pPr>
        <w:spacing w:line="312" w:lineRule="auto"/>
        <w:jc w:val="center"/>
        <w:rPr>
          <w:rFonts w:hint="eastAsia" w:ascii="宋体" w:hAnsi="宋体" w:eastAsia="宋体" w:cs="宋体"/>
          <w:color w:val="auto"/>
          <w:sz w:val="24"/>
          <w:highlight w:val="none"/>
        </w:rPr>
      </w:pPr>
    </w:p>
    <w:p>
      <w:pPr>
        <w:autoSpaceDE w:val="0"/>
        <w:autoSpaceDN w:val="0"/>
        <w:adjustRightInd w:val="0"/>
        <w:spacing w:line="500" w:lineRule="exact"/>
        <w:ind w:firstLine="210" w:firstLineChars="100"/>
        <w:jc w:val="left"/>
        <w:rPr>
          <w:rFonts w:hint="eastAsia" w:ascii="宋体" w:hAnsi="宋体" w:eastAsia="宋体" w:cs="宋体"/>
          <w:bCs/>
          <w:color w:val="auto"/>
          <w:szCs w:val="21"/>
          <w:highlight w:val="none"/>
          <w:lang w:val="zh-CN"/>
        </w:rPr>
      </w:pPr>
      <w:r>
        <w:rPr>
          <w:rFonts w:hint="eastAsia" w:ascii="宋体" w:hAnsi="宋体" w:eastAsia="宋体" w:cs="宋体"/>
          <w:color w:val="auto"/>
          <w:highlight w:val="none"/>
        </w:rPr>
        <w:t xml:space="preserve">   </w:t>
      </w:r>
      <w:r>
        <w:rPr>
          <w:rFonts w:hint="eastAsia" w:ascii="宋体" w:hAnsi="宋体" w:eastAsia="宋体" w:cs="宋体"/>
          <w:bCs/>
          <w:color w:val="auto"/>
          <w:szCs w:val="21"/>
          <w:highlight w:val="none"/>
          <w:lang w:val="zh-CN"/>
        </w:rPr>
        <w:t>我方参加</w:t>
      </w:r>
      <w:r>
        <w:rPr>
          <w:rFonts w:hint="eastAsia" w:ascii="宋体" w:hAnsi="宋体" w:eastAsia="宋体" w:cs="宋体"/>
          <w:bCs/>
          <w:color w:val="auto"/>
          <w:szCs w:val="21"/>
          <w:highlight w:val="none"/>
          <w:u w:val="single"/>
          <w:lang w:val="zh-CN"/>
        </w:rPr>
        <w:t xml:space="preserve">                    (项目名称) </w:t>
      </w:r>
      <w:r>
        <w:rPr>
          <w:rFonts w:hint="eastAsia" w:ascii="宋体" w:hAnsi="宋体" w:eastAsia="宋体" w:cs="宋体"/>
          <w:bCs/>
          <w:color w:val="auto"/>
          <w:szCs w:val="21"/>
          <w:highlight w:val="none"/>
        </w:rPr>
        <w:t>的招标活动</w:t>
      </w:r>
      <w:r>
        <w:rPr>
          <w:rFonts w:hint="eastAsia" w:ascii="宋体" w:hAnsi="宋体" w:eastAsia="宋体" w:cs="宋体"/>
          <w:bCs/>
          <w:color w:val="auto"/>
          <w:szCs w:val="21"/>
          <w:highlight w:val="none"/>
          <w:lang w:val="zh-CN"/>
        </w:rPr>
        <w:t>，并递交</w:t>
      </w:r>
      <w:r>
        <w:rPr>
          <w:rFonts w:hint="eastAsia" w:ascii="宋体" w:hAnsi="宋体" w:eastAsia="宋体" w:cs="宋体"/>
          <w:bCs/>
          <w:color w:val="auto"/>
          <w:szCs w:val="21"/>
          <w:highlight w:val="none"/>
        </w:rPr>
        <w:t>投标保证金</w:t>
      </w:r>
      <w:r>
        <w:rPr>
          <w:rFonts w:hint="eastAsia" w:ascii="宋体" w:hAnsi="宋体" w:eastAsia="宋体" w:cs="宋体"/>
          <w:bCs/>
          <w:color w:val="auto"/>
          <w:szCs w:val="21"/>
          <w:highlight w:val="none"/>
          <w:lang w:val="zh-CN"/>
        </w:rPr>
        <w:t>__________万元（大写）。我方承诺执行本项目招标文件有关</w:t>
      </w:r>
      <w:r>
        <w:rPr>
          <w:rFonts w:hint="eastAsia" w:ascii="宋体" w:hAnsi="宋体" w:eastAsia="宋体" w:cs="宋体"/>
          <w:bCs/>
          <w:color w:val="auto"/>
          <w:szCs w:val="21"/>
          <w:highlight w:val="none"/>
        </w:rPr>
        <w:t>投标保证金</w:t>
      </w:r>
      <w:r>
        <w:rPr>
          <w:rFonts w:hint="eastAsia" w:ascii="宋体" w:hAnsi="宋体" w:eastAsia="宋体" w:cs="宋体"/>
          <w:bCs/>
          <w:color w:val="auto"/>
          <w:szCs w:val="21"/>
          <w:highlight w:val="none"/>
          <w:lang w:val="zh-CN"/>
        </w:rPr>
        <w:t>的规定，并对我方有约束力。</w:t>
      </w:r>
    </w:p>
    <w:p>
      <w:pPr>
        <w:autoSpaceDE w:val="0"/>
        <w:autoSpaceDN w:val="0"/>
        <w:adjustRightInd w:val="0"/>
        <w:spacing w:line="500" w:lineRule="exact"/>
        <w:jc w:val="center"/>
        <w:rPr>
          <w:rFonts w:hint="eastAsia" w:ascii="宋体" w:hAnsi="宋体" w:eastAsia="宋体" w:cs="宋体"/>
          <w:bCs/>
          <w:color w:val="auto"/>
          <w:szCs w:val="21"/>
          <w:highlight w:val="none"/>
          <w:lang w:val="zh-CN"/>
        </w:rPr>
      </w:pPr>
    </w:p>
    <w:p>
      <w:pPr>
        <w:autoSpaceDE w:val="0"/>
        <w:autoSpaceDN w:val="0"/>
        <w:adjustRightInd w:val="0"/>
        <w:spacing w:line="50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附投标保证金缴纳凭证及基本账户开户许可证复印件并加盖投标人公章。</w:t>
      </w:r>
    </w:p>
    <w:p>
      <w:pPr>
        <w:autoSpaceDE w:val="0"/>
        <w:autoSpaceDN w:val="0"/>
        <w:adjustRightInd w:val="0"/>
        <w:spacing w:line="50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注：基本账户开户许可取消后新开立基本账户的投标人，可以按照中国人民银行的相关文件规定提交银行打印的《基本存款账户信息》。</w:t>
      </w:r>
    </w:p>
    <w:p>
      <w:pPr>
        <w:spacing w:before="156" w:beforeLines="50" w:after="156" w:afterLines="50" w:line="312" w:lineRule="auto"/>
        <w:jc w:val="center"/>
        <w:rPr>
          <w:rFonts w:hint="eastAsia" w:ascii="宋体" w:hAnsi="宋体" w:eastAsia="宋体" w:cs="宋体"/>
          <w:color w:val="auto"/>
          <w:szCs w:val="21"/>
          <w:highlight w:val="none"/>
        </w:rPr>
      </w:pPr>
    </w:p>
    <w:p>
      <w:pPr>
        <w:spacing w:before="156" w:beforeLines="50" w:after="156" w:afterLines="50" w:line="312" w:lineRule="auto"/>
        <w:jc w:val="center"/>
        <w:rPr>
          <w:rFonts w:hint="eastAsia" w:ascii="宋体" w:hAnsi="宋体" w:eastAsia="宋体" w:cs="宋体"/>
          <w:color w:val="auto"/>
          <w:szCs w:val="21"/>
          <w:highlight w:val="none"/>
        </w:rPr>
      </w:pPr>
    </w:p>
    <w:p>
      <w:pPr>
        <w:spacing w:before="156" w:beforeLines="50" w:after="156" w:afterLines="50" w:line="312" w:lineRule="auto"/>
        <w:rPr>
          <w:rFonts w:hint="eastAsia" w:ascii="宋体" w:hAnsi="宋体" w:eastAsia="宋体" w:cs="宋体"/>
          <w:color w:val="auto"/>
          <w:szCs w:val="21"/>
          <w:highlight w:val="none"/>
        </w:rPr>
      </w:pPr>
    </w:p>
    <w:p>
      <w:pPr>
        <w:spacing w:before="156" w:beforeLines="50" w:after="156" w:afterLines="50" w:line="312" w:lineRule="auto"/>
        <w:jc w:val="center"/>
        <w:rPr>
          <w:rFonts w:hint="eastAsia" w:ascii="宋体" w:hAnsi="宋体" w:eastAsia="宋体" w:cs="宋体"/>
          <w:color w:val="auto"/>
          <w:szCs w:val="21"/>
          <w:highlight w:val="none"/>
        </w:rPr>
      </w:pPr>
    </w:p>
    <w:p>
      <w:pPr>
        <w:spacing w:before="156" w:beforeLines="50" w:after="156" w:afterLines="50"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        （盖公章）                 </w:t>
      </w:r>
    </w:p>
    <w:p>
      <w:pPr>
        <w:spacing w:before="156" w:beforeLines="50" w:after="156" w:afterLines="50" w:line="312" w:lineRule="auto"/>
        <w:jc w:val="left"/>
        <w:rPr>
          <w:rFonts w:hint="eastAsia" w:ascii="宋体" w:hAnsi="宋体" w:eastAsia="宋体" w:cs="宋体"/>
          <w:color w:val="auto"/>
          <w:szCs w:val="21"/>
          <w:highlight w:val="none"/>
        </w:rPr>
        <w:sectPr>
          <w:type w:val="continuous"/>
          <w:pgSz w:w="11850" w:h="16783"/>
          <w:pgMar w:top="1440" w:right="1800" w:bottom="1118" w:left="1800" w:header="851" w:footer="992" w:gutter="0"/>
          <w:cols w:space="720" w:num="1"/>
          <w:docGrid w:type="lines" w:linePitch="312" w:charSpace="0"/>
        </w:sectPr>
      </w:pPr>
      <w:r>
        <w:rPr>
          <w:rFonts w:hint="eastAsia" w:ascii="宋体" w:hAnsi="宋体" w:eastAsia="宋体" w:cs="宋体"/>
          <w:color w:val="auto"/>
          <w:szCs w:val="21"/>
          <w:highlight w:val="none"/>
        </w:rPr>
        <w:t>法定代表人或委托代理人：          （签字或盖章）</w:t>
      </w:r>
    </w:p>
    <w:p>
      <w:pPr>
        <w:spacing w:line="312" w:lineRule="auto"/>
        <w:ind w:left="2300"/>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五、商务和技术偏差表</w:t>
      </w:r>
    </w:p>
    <w:p>
      <w:pPr>
        <w:jc w:val="center"/>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（一）商务条款偏离表</w:t>
      </w:r>
    </w:p>
    <w:p>
      <w:pPr>
        <w:spacing w:before="156" w:beforeLines="50" w:after="156" w:afterLines="50" w:line="312" w:lineRule="auto"/>
        <w:rPr>
          <w:rFonts w:hint="eastAsia" w:ascii="宋体" w:hAnsi="宋体" w:eastAsia="宋体" w:cs="宋体"/>
          <w:color w:val="auto"/>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招标编号： </w:t>
      </w:r>
    </w:p>
    <w:tbl>
      <w:tblPr>
        <w:tblStyle w:val="28"/>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060"/>
        <w:gridCol w:w="3090"/>
        <w:gridCol w:w="1074"/>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vAlign w:val="center"/>
          </w:tcPr>
          <w:p>
            <w:pPr>
              <w:spacing w:line="360" w:lineRule="auto"/>
              <w:jc w:val="center"/>
              <w:outlineLvl w:val="0"/>
              <w:rPr>
                <w:rFonts w:hint="eastAsia" w:ascii="宋体" w:hAnsi="宋体" w:eastAsia="宋体" w:cs="宋体"/>
                <w:color w:val="auto"/>
                <w:szCs w:val="21"/>
                <w:highlight w:val="none"/>
              </w:rPr>
            </w:pPr>
            <w:bookmarkStart w:id="29" w:name="_Toc18867"/>
            <w:r>
              <w:rPr>
                <w:rFonts w:hint="eastAsia" w:ascii="宋体" w:hAnsi="宋体" w:eastAsia="宋体" w:cs="宋体"/>
                <w:color w:val="auto"/>
                <w:szCs w:val="21"/>
                <w:highlight w:val="none"/>
              </w:rPr>
              <w:t>序号</w:t>
            </w:r>
            <w:bookmarkEnd w:id="29"/>
          </w:p>
        </w:tc>
        <w:tc>
          <w:tcPr>
            <w:tcW w:w="1260" w:type="dxa"/>
            <w:vAlign w:val="center"/>
          </w:tcPr>
          <w:p>
            <w:pPr>
              <w:spacing w:line="360" w:lineRule="auto"/>
              <w:jc w:val="center"/>
              <w:outlineLvl w:val="0"/>
              <w:rPr>
                <w:rFonts w:hint="eastAsia" w:ascii="宋体" w:hAnsi="宋体" w:eastAsia="宋体" w:cs="宋体"/>
                <w:color w:val="auto"/>
                <w:szCs w:val="21"/>
                <w:highlight w:val="none"/>
              </w:rPr>
            </w:pPr>
            <w:bookmarkStart w:id="30" w:name="_Toc15556"/>
            <w:r>
              <w:rPr>
                <w:rFonts w:hint="eastAsia" w:ascii="宋体" w:hAnsi="宋体" w:eastAsia="宋体" w:cs="宋体"/>
                <w:color w:val="auto"/>
                <w:szCs w:val="21"/>
                <w:highlight w:val="none"/>
              </w:rPr>
              <w:t>货物名称</w:t>
            </w:r>
            <w:bookmarkEnd w:id="30"/>
          </w:p>
        </w:tc>
        <w:tc>
          <w:tcPr>
            <w:tcW w:w="3060" w:type="dxa"/>
            <w:vAlign w:val="center"/>
          </w:tcPr>
          <w:p>
            <w:pPr>
              <w:spacing w:line="360" w:lineRule="auto"/>
              <w:jc w:val="center"/>
              <w:outlineLvl w:val="0"/>
              <w:rPr>
                <w:rFonts w:hint="eastAsia" w:ascii="宋体" w:hAnsi="宋体" w:eastAsia="宋体" w:cs="宋体"/>
                <w:color w:val="auto"/>
                <w:szCs w:val="21"/>
                <w:highlight w:val="none"/>
              </w:rPr>
            </w:pPr>
            <w:bookmarkStart w:id="31" w:name="_Toc15451"/>
            <w:r>
              <w:rPr>
                <w:rFonts w:hint="eastAsia" w:ascii="宋体" w:hAnsi="宋体" w:eastAsia="宋体" w:cs="宋体"/>
                <w:color w:val="auto"/>
                <w:szCs w:val="21"/>
                <w:highlight w:val="none"/>
              </w:rPr>
              <w:t>招标文件规定的商务条款</w:t>
            </w:r>
            <w:bookmarkEnd w:id="31"/>
          </w:p>
        </w:tc>
        <w:tc>
          <w:tcPr>
            <w:tcW w:w="3090" w:type="dxa"/>
            <w:vAlign w:val="center"/>
          </w:tcPr>
          <w:p>
            <w:pPr>
              <w:spacing w:line="360" w:lineRule="auto"/>
              <w:jc w:val="center"/>
              <w:outlineLvl w:val="0"/>
              <w:rPr>
                <w:rFonts w:hint="eastAsia" w:ascii="宋体" w:hAnsi="宋体" w:eastAsia="宋体" w:cs="宋体"/>
                <w:color w:val="auto"/>
                <w:szCs w:val="21"/>
                <w:highlight w:val="none"/>
              </w:rPr>
            </w:pPr>
            <w:bookmarkStart w:id="32" w:name="_Toc22693"/>
            <w:r>
              <w:rPr>
                <w:rFonts w:hint="eastAsia" w:ascii="宋体" w:hAnsi="宋体" w:eastAsia="宋体" w:cs="宋体"/>
                <w:color w:val="auto"/>
                <w:szCs w:val="21"/>
                <w:highlight w:val="none"/>
              </w:rPr>
              <w:t>投标文件对应的商务条款</w:t>
            </w:r>
            <w:bookmarkEnd w:id="32"/>
          </w:p>
        </w:tc>
        <w:tc>
          <w:tcPr>
            <w:tcW w:w="1074" w:type="dxa"/>
            <w:vAlign w:val="center"/>
          </w:tcPr>
          <w:p>
            <w:pPr>
              <w:spacing w:line="360" w:lineRule="auto"/>
              <w:jc w:val="center"/>
              <w:outlineLvl w:val="0"/>
              <w:rPr>
                <w:rFonts w:hint="eastAsia" w:ascii="宋体" w:hAnsi="宋体" w:eastAsia="宋体" w:cs="宋体"/>
                <w:color w:val="auto"/>
                <w:szCs w:val="21"/>
                <w:highlight w:val="none"/>
              </w:rPr>
            </w:pPr>
            <w:bookmarkStart w:id="33" w:name="_Toc582"/>
            <w:r>
              <w:rPr>
                <w:rFonts w:hint="eastAsia" w:ascii="宋体" w:hAnsi="宋体" w:eastAsia="宋体" w:cs="宋体"/>
                <w:color w:val="auto"/>
                <w:szCs w:val="21"/>
                <w:highlight w:val="none"/>
              </w:rPr>
              <w:t>是否偏离</w:t>
            </w:r>
            <w:bookmarkEnd w:id="33"/>
          </w:p>
        </w:tc>
        <w:tc>
          <w:tcPr>
            <w:tcW w:w="712" w:type="dxa"/>
            <w:vAlign w:val="center"/>
          </w:tcPr>
          <w:p>
            <w:pPr>
              <w:spacing w:line="360" w:lineRule="auto"/>
              <w:jc w:val="center"/>
              <w:outlineLvl w:val="0"/>
              <w:rPr>
                <w:rFonts w:hint="eastAsia" w:ascii="宋体" w:hAnsi="宋体" w:eastAsia="宋体" w:cs="宋体"/>
                <w:color w:val="auto"/>
                <w:szCs w:val="21"/>
                <w:highlight w:val="none"/>
              </w:rPr>
            </w:pPr>
            <w:bookmarkStart w:id="34" w:name="_Toc23253"/>
            <w:r>
              <w:rPr>
                <w:rFonts w:hint="eastAsia" w:ascii="宋体" w:hAnsi="宋体" w:eastAsia="宋体" w:cs="宋体"/>
                <w:color w:val="auto"/>
                <w:szCs w:val="21"/>
                <w:highlight w:val="none"/>
              </w:rPr>
              <w:t>备注</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tcPr>
          <w:p>
            <w:pPr>
              <w:spacing w:line="360" w:lineRule="auto"/>
              <w:outlineLvl w:val="0"/>
              <w:rPr>
                <w:rFonts w:hint="eastAsia" w:ascii="宋体" w:hAnsi="宋体" w:eastAsia="宋体" w:cs="宋体"/>
                <w:color w:val="auto"/>
                <w:szCs w:val="21"/>
                <w:highlight w:val="none"/>
              </w:rPr>
            </w:pPr>
          </w:p>
        </w:tc>
        <w:tc>
          <w:tcPr>
            <w:tcW w:w="1260" w:type="dxa"/>
          </w:tcPr>
          <w:p>
            <w:pPr>
              <w:spacing w:line="360" w:lineRule="auto"/>
              <w:outlineLvl w:val="0"/>
              <w:rPr>
                <w:rFonts w:hint="eastAsia" w:ascii="宋体" w:hAnsi="宋体" w:eastAsia="宋体" w:cs="宋体"/>
                <w:color w:val="auto"/>
                <w:szCs w:val="21"/>
                <w:highlight w:val="none"/>
              </w:rPr>
            </w:pPr>
          </w:p>
        </w:tc>
        <w:tc>
          <w:tcPr>
            <w:tcW w:w="3060" w:type="dxa"/>
          </w:tcPr>
          <w:p>
            <w:pPr>
              <w:spacing w:line="360" w:lineRule="auto"/>
              <w:outlineLvl w:val="0"/>
              <w:rPr>
                <w:rFonts w:hint="eastAsia" w:ascii="宋体" w:hAnsi="宋体" w:eastAsia="宋体" w:cs="宋体"/>
                <w:color w:val="auto"/>
                <w:szCs w:val="21"/>
                <w:highlight w:val="none"/>
              </w:rPr>
            </w:pPr>
          </w:p>
        </w:tc>
        <w:tc>
          <w:tcPr>
            <w:tcW w:w="3090" w:type="dxa"/>
          </w:tcPr>
          <w:p>
            <w:pPr>
              <w:spacing w:line="360" w:lineRule="auto"/>
              <w:outlineLvl w:val="0"/>
              <w:rPr>
                <w:rFonts w:hint="eastAsia" w:ascii="宋体" w:hAnsi="宋体" w:eastAsia="宋体" w:cs="宋体"/>
                <w:color w:val="auto"/>
                <w:szCs w:val="21"/>
                <w:highlight w:val="none"/>
              </w:rPr>
            </w:pPr>
          </w:p>
        </w:tc>
        <w:tc>
          <w:tcPr>
            <w:tcW w:w="1074" w:type="dxa"/>
          </w:tcPr>
          <w:p>
            <w:pPr>
              <w:spacing w:line="360" w:lineRule="auto"/>
              <w:outlineLvl w:val="0"/>
              <w:rPr>
                <w:rFonts w:hint="eastAsia" w:ascii="宋体" w:hAnsi="宋体" w:eastAsia="宋体" w:cs="宋体"/>
                <w:color w:val="auto"/>
                <w:szCs w:val="21"/>
                <w:highlight w:val="none"/>
              </w:rPr>
            </w:pPr>
          </w:p>
        </w:tc>
        <w:tc>
          <w:tcPr>
            <w:tcW w:w="712" w:type="dxa"/>
          </w:tcPr>
          <w:p>
            <w:pPr>
              <w:spacing w:line="360" w:lineRule="auto"/>
              <w:outlineLvl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tcPr>
          <w:p>
            <w:pPr>
              <w:spacing w:line="360" w:lineRule="auto"/>
              <w:outlineLvl w:val="0"/>
              <w:rPr>
                <w:rFonts w:hint="eastAsia" w:ascii="宋体" w:hAnsi="宋体" w:eastAsia="宋体" w:cs="宋体"/>
                <w:color w:val="auto"/>
                <w:szCs w:val="21"/>
                <w:highlight w:val="none"/>
              </w:rPr>
            </w:pPr>
          </w:p>
        </w:tc>
        <w:tc>
          <w:tcPr>
            <w:tcW w:w="1260" w:type="dxa"/>
          </w:tcPr>
          <w:p>
            <w:pPr>
              <w:spacing w:line="360" w:lineRule="auto"/>
              <w:outlineLvl w:val="0"/>
              <w:rPr>
                <w:rFonts w:hint="eastAsia" w:ascii="宋体" w:hAnsi="宋体" w:eastAsia="宋体" w:cs="宋体"/>
                <w:color w:val="auto"/>
                <w:szCs w:val="21"/>
                <w:highlight w:val="none"/>
              </w:rPr>
            </w:pPr>
          </w:p>
        </w:tc>
        <w:tc>
          <w:tcPr>
            <w:tcW w:w="3060" w:type="dxa"/>
          </w:tcPr>
          <w:p>
            <w:pPr>
              <w:spacing w:line="360" w:lineRule="auto"/>
              <w:outlineLvl w:val="0"/>
              <w:rPr>
                <w:rFonts w:hint="eastAsia" w:ascii="宋体" w:hAnsi="宋体" w:eastAsia="宋体" w:cs="宋体"/>
                <w:color w:val="auto"/>
                <w:szCs w:val="21"/>
                <w:highlight w:val="none"/>
              </w:rPr>
            </w:pPr>
          </w:p>
        </w:tc>
        <w:tc>
          <w:tcPr>
            <w:tcW w:w="3090" w:type="dxa"/>
          </w:tcPr>
          <w:p>
            <w:pPr>
              <w:spacing w:line="360" w:lineRule="auto"/>
              <w:outlineLvl w:val="0"/>
              <w:rPr>
                <w:rFonts w:hint="eastAsia" w:ascii="宋体" w:hAnsi="宋体" w:eastAsia="宋体" w:cs="宋体"/>
                <w:color w:val="auto"/>
                <w:szCs w:val="21"/>
                <w:highlight w:val="none"/>
              </w:rPr>
            </w:pPr>
          </w:p>
        </w:tc>
        <w:tc>
          <w:tcPr>
            <w:tcW w:w="1074" w:type="dxa"/>
          </w:tcPr>
          <w:p>
            <w:pPr>
              <w:spacing w:line="360" w:lineRule="auto"/>
              <w:outlineLvl w:val="0"/>
              <w:rPr>
                <w:rFonts w:hint="eastAsia" w:ascii="宋体" w:hAnsi="宋体" w:eastAsia="宋体" w:cs="宋体"/>
                <w:color w:val="auto"/>
                <w:szCs w:val="21"/>
                <w:highlight w:val="none"/>
              </w:rPr>
            </w:pPr>
          </w:p>
        </w:tc>
        <w:tc>
          <w:tcPr>
            <w:tcW w:w="712" w:type="dxa"/>
          </w:tcPr>
          <w:p>
            <w:pPr>
              <w:spacing w:line="360" w:lineRule="auto"/>
              <w:outlineLvl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tcPr>
          <w:p>
            <w:pPr>
              <w:spacing w:line="360" w:lineRule="auto"/>
              <w:outlineLvl w:val="0"/>
              <w:rPr>
                <w:rFonts w:hint="eastAsia" w:ascii="宋体" w:hAnsi="宋体" w:eastAsia="宋体" w:cs="宋体"/>
                <w:color w:val="auto"/>
                <w:szCs w:val="21"/>
                <w:highlight w:val="none"/>
              </w:rPr>
            </w:pPr>
          </w:p>
        </w:tc>
        <w:tc>
          <w:tcPr>
            <w:tcW w:w="1260" w:type="dxa"/>
          </w:tcPr>
          <w:p>
            <w:pPr>
              <w:spacing w:line="360" w:lineRule="auto"/>
              <w:outlineLvl w:val="0"/>
              <w:rPr>
                <w:rFonts w:hint="eastAsia" w:ascii="宋体" w:hAnsi="宋体" w:eastAsia="宋体" w:cs="宋体"/>
                <w:color w:val="auto"/>
                <w:szCs w:val="21"/>
                <w:highlight w:val="none"/>
              </w:rPr>
            </w:pPr>
          </w:p>
        </w:tc>
        <w:tc>
          <w:tcPr>
            <w:tcW w:w="3060" w:type="dxa"/>
          </w:tcPr>
          <w:p>
            <w:pPr>
              <w:spacing w:line="360" w:lineRule="auto"/>
              <w:outlineLvl w:val="0"/>
              <w:rPr>
                <w:rFonts w:hint="eastAsia" w:ascii="宋体" w:hAnsi="宋体" w:eastAsia="宋体" w:cs="宋体"/>
                <w:color w:val="auto"/>
                <w:szCs w:val="21"/>
                <w:highlight w:val="none"/>
              </w:rPr>
            </w:pPr>
          </w:p>
        </w:tc>
        <w:tc>
          <w:tcPr>
            <w:tcW w:w="3090" w:type="dxa"/>
          </w:tcPr>
          <w:p>
            <w:pPr>
              <w:spacing w:line="360" w:lineRule="auto"/>
              <w:outlineLvl w:val="0"/>
              <w:rPr>
                <w:rFonts w:hint="eastAsia" w:ascii="宋体" w:hAnsi="宋体" w:eastAsia="宋体" w:cs="宋体"/>
                <w:color w:val="auto"/>
                <w:szCs w:val="21"/>
                <w:highlight w:val="none"/>
              </w:rPr>
            </w:pPr>
          </w:p>
        </w:tc>
        <w:tc>
          <w:tcPr>
            <w:tcW w:w="1074" w:type="dxa"/>
          </w:tcPr>
          <w:p>
            <w:pPr>
              <w:spacing w:line="360" w:lineRule="auto"/>
              <w:outlineLvl w:val="0"/>
              <w:rPr>
                <w:rFonts w:hint="eastAsia" w:ascii="宋体" w:hAnsi="宋体" w:eastAsia="宋体" w:cs="宋体"/>
                <w:color w:val="auto"/>
                <w:szCs w:val="21"/>
                <w:highlight w:val="none"/>
              </w:rPr>
            </w:pPr>
          </w:p>
        </w:tc>
        <w:tc>
          <w:tcPr>
            <w:tcW w:w="712" w:type="dxa"/>
          </w:tcPr>
          <w:p>
            <w:pPr>
              <w:spacing w:line="360" w:lineRule="auto"/>
              <w:outlineLvl w:val="0"/>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pStyle w:val="2"/>
        <w:spacing w:line="360" w:lineRule="auto"/>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1.商务条款均应根据投标文件对招标文件的偏离情况相对应地填列。</w:t>
      </w:r>
    </w:p>
    <w:p>
      <w:pPr>
        <w:pStyle w:val="2"/>
        <w:spacing w:line="360" w:lineRule="auto"/>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2.商务条款主要填列付款条件、供货期、交货方式、售后服务、质量保证等重要条款方面的偏离情况。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3.表内如果填列不全，可另外附页说明并按规定签字和加盖公章。             </w:t>
      </w:r>
    </w:p>
    <w:p>
      <w:pPr>
        <w:spacing w:line="360" w:lineRule="auto"/>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35" w:name="_Toc7682"/>
      <w:r>
        <w:rPr>
          <w:rFonts w:hint="eastAsia" w:ascii="宋体" w:hAnsi="宋体" w:eastAsia="宋体" w:cs="宋体"/>
          <w:color w:val="auto"/>
          <w:szCs w:val="21"/>
          <w:highlight w:val="none"/>
        </w:rPr>
        <w:t>4.采购人要求投标人认真填写本表。</w:t>
      </w:r>
      <w:bookmarkEnd w:id="35"/>
    </w:p>
    <w:p>
      <w:pPr>
        <w:spacing w:line="360" w:lineRule="auto"/>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36" w:name="_Toc18009"/>
      <w:r>
        <w:rPr>
          <w:rFonts w:hint="eastAsia" w:ascii="宋体" w:hAnsi="宋体" w:eastAsia="宋体" w:cs="宋体"/>
          <w:color w:val="auto"/>
          <w:szCs w:val="21"/>
          <w:highlight w:val="none"/>
        </w:rPr>
        <w:t>5.此表可根据需要自行拉长加宽。</w:t>
      </w:r>
      <w:bookmarkEnd w:id="36"/>
    </w:p>
    <w:p>
      <w:pPr>
        <w:spacing w:before="156" w:beforeLines="50" w:after="156" w:afterLines="50"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        （盖公章）                 </w:t>
      </w:r>
    </w:p>
    <w:p>
      <w:pPr>
        <w:spacing w:before="156" w:beforeLines="50" w:after="156" w:afterLines="50"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          （签字或盖章）</w:t>
      </w:r>
    </w:p>
    <w:p>
      <w:pPr>
        <w:pStyle w:val="21"/>
        <w:rPr>
          <w:rFonts w:hint="eastAsia" w:ascii="宋体" w:hAnsi="宋体" w:eastAsia="宋体" w:cs="宋体"/>
          <w:color w:val="auto"/>
          <w:szCs w:val="21"/>
          <w:highlight w:val="none"/>
        </w:rPr>
      </w:pPr>
    </w:p>
    <w:p>
      <w:pPr>
        <w:pStyle w:val="21"/>
        <w:ind w:firstLine="630" w:firstLineChars="300"/>
        <w:jc w:val="right"/>
        <w:rPr>
          <w:rFonts w:hint="eastAsia" w:ascii="宋体" w:hAnsi="宋体" w:eastAsia="宋体" w:cs="宋体"/>
          <w:color w:val="auto"/>
          <w:szCs w:val="21"/>
          <w:highlight w:val="none"/>
        </w:rPr>
        <w:sectPr>
          <w:headerReference r:id="rId7" w:type="default"/>
          <w:footerReference r:id="rId8" w:type="default"/>
          <w:pgSz w:w="11850" w:h="16783"/>
          <w:pgMar w:top="1440" w:right="1800" w:bottom="1118" w:left="1800" w:header="851" w:footer="992" w:gutter="0"/>
          <w:cols w:space="720" w:num="1"/>
          <w:docGrid w:type="lines" w:linePitch="312" w:charSpace="0"/>
        </w:sectPr>
      </w:pPr>
      <w:r>
        <w:rPr>
          <w:rFonts w:hint="eastAsia" w:ascii="宋体" w:hAnsi="宋体" w:eastAsia="宋体" w:cs="宋体"/>
          <w:color w:val="auto"/>
          <w:szCs w:val="21"/>
          <w:highlight w:val="none"/>
        </w:rPr>
        <w:t>年  月  日</w:t>
      </w:r>
    </w:p>
    <w:p>
      <w:pPr>
        <w:spacing w:before="156" w:beforeLines="50" w:after="156" w:afterLines="50" w:line="312" w:lineRule="auto"/>
        <w:jc w:val="center"/>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（二）投标货物及技术规格偏离表</w:t>
      </w:r>
    </w:p>
    <w:p>
      <w:pPr>
        <w:spacing w:before="156" w:beforeLines="50" w:after="156" w:afterLines="50" w:line="312" w:lineRule="auto"/>
        <w:rPr>
          <w:rFonts w:hint="eastAsia" w:ascii="宋体" w:hAnsi="宋体" w:eastAsia="宋体" w:cs="宋体"/>
          <w:color w:val="auto"/>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招标编号： </w:t>
      </w:r>
    </w:p>
    <w:tbl>
      <w:tblPr>
        <w:tblStyle w:val="28"/>
        <w:tblpPr w:leftFromText="180" w:rightFromText="180" w:vertAnchor="text" w:horzAnchor="page" w:tblpX="1772" w:tblpY="550"/>
        <w:tblOverlap w:val="never"/>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768"/>
        <w:gridCol w:w="2550"/>
        <w:gridCol w:w="2446"/>
        <w:gridCol w:w="1996"/>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55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6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2550"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招标文件要求产品参数及服务</w:t>
            </w:r>
          </w:p>
        </w:tc>
        <w:tc>
          <w:tcPr>
            <w:tcW w:w="244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投标产品参数及服务</w:t>
            </w:r>
          </w:p>
        </w:tc>
        <w:tc>
          <w:tcPr>
            <w:tcW w:w="199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如需提供证明材料应标注页码</w:t>
            </w:r>
          </w:p>
        </w:tc>
        <w:tc>
          <w:tcPr>
            <w:tcW w:w="109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244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199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244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199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244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199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244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199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244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199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244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199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55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768"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244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1996"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c>
          <w:tcPr>
            <w:tcW w:w="1099" w:type="dxa"/>
            <w:tcBorders>
              <w:top w:val="single" w:color="000000" w:sz="4" w:space="0"/>
              <w:left w:val="single" w:color="000000" w:sz="4" w:space="0"/>
              <w:bottom w:val="single" w:color="000000" w:sz="4" w:space="0"/>
              <w:right w:val="single" w:color="000000" w:sz="4" w:space="0"/>
            </w:tcBorders>
          </w:tcPr>
          <w:p>
            <w:pPr>
              <w:spacing w:before="156" w:beforeLines="50" w:after="156" w:afterLines="50" w:line="312" w:lineRule="auto"/>
              <w:jc w:val="center"/>
              <w:rPr>
                <w:rFonts w:hint="eastAsia" w:ascii="宋体" w:hAnsi="宋体" w:eastAsia="宋体" w:cs="宋体"/>
                <w:color w:val="auto"/>
                <w:szCs w:val="21"/>
                <w:highlight w:val="none"/>
              </w:rPr>
            </w:pPr>
          </w:p>
        </w:tc>
      </w:tr>
    </w:tbl>
    <w:p>
      <w:pPr>
        <w:spacing w:before="156" w:beforeLines="50" w:after="156" w:afterLines="50"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根据招标文件“第五章 项目需求” 逐条进行填写。</w:t>
      </w:r>
    </w:p>
    <w:p>
      <w:pPr>
        <w:spacing w:before="156" w:beforeLines="50" w:after="156" w:afterLines="50" w:line="312" w:lineRule="auto"/>
        <w:rPr>
          <w:rFonts w:hint="eastAsia" w:ascii="宋体" w:hAnsi="宋体" w:eastAsia="宋体" w:cs="宋体"/>
          <w:color w:val="auto"/>
          <w:szCs w:val="21"/>
          <w:highlight w:val="none"/>
        </w:rPr>
      </w:pPr>
    </w:p>
    <w:p>
      <w:pPr>
        <w:spacing w:before="156" w:beforeLines="50" w:after="156" w:afterLines="50"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        （盖公章）                 </w:t>
      </w:r>
    </w:p>
    <w:p>
      <w:pPr>
        <w:spacing w:before="156" w:beforeLines="50" w:after="156" w:afterLines="50"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          （签字或盖章）</w:t>
      </w:r>
    </w:p>
    <w:p>
      <w:pPr>
        <w:pStyle w:val="21"/>
        <w:rPr>
          <w:rFonts w:hint="eastAsia" w:ascii="宋体" w:hAnsi="宋体" w:eastAsia="宋体" w:cs="宋体"/>
          <w:color w:val="auto"/>
          <w:szCs w:val="21"/>
          <w:highlight w:val="none"/>
        </w:rPr>
      </w:pPr>
    </w:p>
    <w:p>
      <w:pPr>
        <w:pStyle w:val="21"/>
        <w:ind w:firstLine="630" w:firstLineChars="300"/>
        <w:jc w:val="right"/>
        <w:rPr>
          <w:rFonts w:hint="eastAsia" w:ascii="宋体" w:hAnsi="宋体" w:eastAsia="宋体" w:cs="宋体"/>
          <w:color w:val="auto"/>
          <w:szCs w:val="21"/>
          <w:highlight w:val="none"/>
        </w:rPr>
        <w:sectPr>
          <w:headerReference r:id="rId9" w:type="default"/>
          <w:footerReference r:id="rId10" w:type="default"/>
          <w:pgSz w:w="11850" w:h="16783"/>
          <w:pgMar w:top="1440" w:right="1800" w:bottom="1118" w:left="1800" w:header="851" w:footer="992" w:gutter="0"/>
          <w:cols w:space="720" w:num="1"/>
          <w:docGrid w:type="lines" w:linePitch="312" w:charSpace="0"/>
        </w:sectPr>
      </w:pPr>
      <w:r>
        <w:rPr>
          <w:rFonts w:hint="eastAsia" w:ascii="宋体" w:hAnsi="宋体" w:eastAsia="宋体" w:cs="宋体"/>
          <w:color w:val="auto"/>
          <w:szCs w:val="21"/>
          <w:highlight w:val="none"/>
        </w:rPr>
        <w:t>年  月  日</w:t>
      </w:r>
    </w:p>
    <w:p>
      <w:pPr>
        <w:spacing w:line="312" w:lineRule="auto"/>
        <w:ind w:left="3200"/>
        <w:jc w:val="left"/>
        <w:rPr>
          <w:rFonts w:hint="eastAsia" w:ascii="宋体" w:hAnsi="宋体" w:eastAsia="宋体" w:cs="宋体"/>
          <w:color w:val="auto"/>
          <w:sz w:val="24"/>
          <w:highlight w:val="none"/>
        </w:rPr>
      </w:pPr>
      <w:r>
        <w:rPr>
          <w:rFonts w:hint="eastAsia" w:ascii="宋体" w:hAnsi="宋体" w:eastAsia="宋体" w:cs="宋体"/>
          <w:b/>
          <w:color w:val="auto"/>
          <w:sz w:val="32"/>
          <w:highlight w:val="none"/>
        </w:rPr>
        <w:t>六、分项报价表</w:t>
      </w:r>
    </w:p>
    <w:p>
      <w:pPr>
        <w:spacing w:line="312" w:lineRule="auto"/>
        <w:jc w:val="left"/>
        <w:rPr>
          <w:rFonts w:hint="eastAsia" w:ascii="宋体" w:hAnsi="宋体" w:eastAsia="宋体" w:cs="宋体"/>
          <w:color w:val="auto"/>
          <w:sz w:val="24"/>
          <w:highlight w:val="none"/>
        </w:rPr>
      </w:pPr>
    </w:p>
    <w:p>
      <w:pPr>
        <w:spacing w:line="312" w:lineRule="auto"/>
        <w:jc w:val="left"/>
        <w:rPr>
          <w:rFonts w:hint="eastAsia" w:ascii="宋体" w:hAnsi="宋体" w:eastAsia="宋体" w:cs="宋体"/>
          <w:color w:val="auto"/>
          <w:sz w:val="24"/>
          <w:highlight w:val="none"/>
        </w:rPr>
      </w:pPr>
    </w:p>
    <w:p>
      <w:pPr>
        <w:spacing w:before="120" w:beforeLines="50" w:after="120" w:afterLines="50" w:line="288"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r>
        <w:rPr>
          <w:rFonts w:hint="eastAsia" w:ascii="宋体" w:hAnsi="宋体" w:eastAsia="宋体" w:cs="宋体"/>
          <w:color w:val="auto"/>
          <w:szCs w:val="21"/>
          <w:highlight w:val="none"/>
          <w:lang w:val="zh-CN"/>
        </w:rPr>
        <w:t>所供</w:t>
      </w:r>
      <w:r>
        <w:rPr>
          <w:rFonts w:hint="eastAsia" w:ascii="宋体" w:hAnsi="宋体" w:eastAsia="宋体" w:cs="宋体"/>
          <w:color w:val="auto"/>
          <w:szCs w:val="21"/>
          <w:highlight w:val="none"/>
        </w:rPr>
        <w:t>货物</w:t>
      </w:r>
      <w:r>
        <w:rPr>
          <w:rFonts w:hint="eastAsia" w:ascii="宋体" w:hAnsi="宋体" w:eastAsia="宋体" w:cs="宋体"/>
          <w:color w:val="auto"/>
          <w:szCs w:val="21"/>
          <w:highlight w:val="none"/>
          <w:lang w:val="zh-CN"/>
        </w:rPr>
        <w:t>分项价格表</w:t>
      </w:r>
    </w:p>
    <w:tbl>
      <w:tblPr>
        <w:tblStyle w:val="28"/>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29"/>
        <w:gridCol w:w="1008"/>
        <w:gridCol w:w="757"/>
        <w:gridCol w:w="1666"/>
        <w:gridCol w:w="1887"/>
        <w:gridCol w:w="202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00" w:type="dxa"/>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29" w:type="dxa"/>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1008" w:type="dxa"/>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品牌、型号和规格</w:t>
            </w:r>
          </w:p>
        </w:tc>
        <w:tc>
          <w:tcPr>
            <w:tcW w:w="757" w:type="dxa"/>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666" w:type="dxa"/>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原产地和</w:t>
            </w:r>
          </w:p>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生产厂家名称</w:t>
            </w:r>
          </w:p>
        </w:tc>
        <w:tc>
          <w:tcPr>
            <w:tcW w:w="1887" w:type="dxa"/>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FOB/FCA单价（注明装运港或装运地点）</w:t>
            </w:r>
          </w:p>
        </w:tc>
        <w:tc>
          <w:tcPr>
            <w:tcW w:w="2021" w:type="dxa"/>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CIP单价</w:t>
            </w:r>
          </w:p>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（注明目的港或目的地）</w:t>
            </w:r>
          </w:p>
        </w:tc>
        <w:tc>
          <w:tcPr>
            <w:tcW w:w="948" w:type="dxa"/>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CIP</w:t>
            </w:r>
          </w:p>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0"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729"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008"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757"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666"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887"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2021" w:type="dxa"/>
          </w:tcPr>
          <w:p>
            <w:pPr>
              <w:spacing w:before="120" w:beforeLines="50" w:after="120" w:afterLines="50" w:line="288" w:lineRule="auto"/>
              <w:jc w:val="center"/>
              <w:rPr>
                <w:rFonts w:hint="eastAsia" w:ascii="宋体" w:hAnsi="宋体" w:eastAsia="宋体" w:cs="宋体"/>
                <w:color w:val="auto"/>
                <w:szCs w:val="21"/>
                <w:highlight w:val="none"/>
              </w:rPr>
            </w:pPr>
          </w:p>
        </w:tc>
        <w:tc>
          <w:tcPr>
            <w:tcW w:w="948" w:type="dxa"/>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0"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729"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008"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757"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666"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887"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2021" w:type="dxa"/>
          </w:tcPr>
          <w:p>
            <w:pPr>
              <w:spacing w:before="120" w:beforeLines="50" w:after="120" w:afterLines="50" w:line="288" w:lineRule="auto"/>
              <w:jc w:val="center"/>
              <w:rPr>
                <w:rFonts w:hint="eastAsia" w:ascii="宋体" w:hAnsi="宋体" w:eastAsia="宋体" w:cs="宋体"/>
                <w:color w:val="auto"/>
                <w:szCs w:val="21"/>
                <w:highlight w:val="none"/>
              </w:rPr>
            </w:pPr>
          </w:p>
        </w:tc>
        <w:tc>
          <w:tcPr>
            <w:tcW w:w="948" w:type="dxa"/>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0"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729"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008"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757"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666"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887"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2021" w:type="dxa"/>
          </w:tcPr>
          <w:p>
            <w:pPr>
              <w:spacing w:before="120" w:beforeLines="50" w:after="120" w:afterLines="50" w:line="288" w:lineRule="auto"/>
              <w:jc w:val="center"/>
              <w:rPr>
                <w:rFonts w:hint="eastAsia" w:ascii="宋体" w:hAnsi="宋体" w:eastAsia="宋体" w:cs="宋体"/>
                <w:color w:val="auto"/>
                <w:szCs w:val="21"/>
                <w:highlight w:val="none"/>
              </w:rPr>
            </w:pPr>
          </w:p>
        </w:tc>
        <w:tc>
          <w:tcPr>
            <w:tcW w:w="948" w:type="dxa"/>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0"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729"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008"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757"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666"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887"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2021" w:type="dxa"/>
          </w:tcPr>
          <w:p>
            <w:pPr>
              <w:spacing w:before="120" w:beforeLines="50" w:after="120" w:afterLines="50" w:line="288" w:lineRule="auto"/>
              <w:jc w:val="center"/>
              <w:rPr>
                <w:rFonts w:hint="eastAsia" w:ascii="宋体" w:hAnsi="宋体" w:eastAsia="宋体" w:cs="宋体"/>
                <w:color w:val="auto"/>
                <w:szCs w:val="21"/>
                <w:highlight w:val="none"/>
              </w:rPr>
            </w:pPr>
          </w:p>
        </w:tc>
        <w:tc>
          <w:tcPr>
            <w:tcW w:w="948" w:type="dxa"/>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0"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729"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008"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757"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666"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887"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2021" w:type="dxa"/>
          </w:tcPr>
          <w:p>
            <w:pPr>
              <w:spacing w:before="120" w:beforeLines="50" w:after="120" w:afterLines="50" w:line="288" w:lineRule="auto"/>
              <w:jc w:val="center"/>
              <w:rPr>
                <w:rFonts w:hint="eastAsia" w:ascii="宋体" w:hAnsi="宋体" w:eastAsia="宋体" w:cs="宋体"/>
                <w:color w:val="auto"/>
                <w:szCs w:val="21"/>
                <w:highlight w:val="none"/>
              </w:rPr>
            </w:pPr>
          </w:p>
        </w:tc>
        <w:tc>
          <w:tcPr>
            <w:tcW w:w="948" w:type="dxa"/>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0"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729"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008"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757"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666"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887"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2021" w:type="dxa"/>
          </w:tcPr>
          <w:p>
            <w:pPr>
              <w:spacing w:before="120" w:beforeLines="50" w:after="120" w:afterLines="50" w:line="288" w:lineRule="auto"/>
              <w:jc w:val="center"/>
              <w:rPr>
                <w:rFonts w:hint="eastAsia" w:ascii="宋体" w:hAnsi="宋体" w:eastAsia="宋体" w:cs="宋体"/>
                <w:color w:val="auto"/>
                <w:szCs w:val="21"/>
                <w:highlight w:val="none"/>
              </w:rPr>
            </w:pPr>
          </w:p>
        </w:tc>
        <w:tc>
          <w:tcPr>
            <w:tcW w:w="948" w:type="dxa"/>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0"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729"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008"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757"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666"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1887" w:type="dxa"/>
            <w:vAlign w:val="center"/>
          </w:tcPr>
          <w:p>
            <w:pPr>
              <w:spacing w:before="120" w:beforeLines="50" w:after="120" w:afterLines="50" w:line="288" w:lineRule="auto"/>
              <w:rPr>
                <w:rFonts w:hint="eastAsia" w:ascii="宋体" w:hAnsi="宋体" w:eastAsia="宋体" w:cs="宋体"/>
                <w:color w:val="auto"/>
                <w:szCs w:val="21"/>
                <w:highlight w:val="none"/>
              </w:rPr>
            </w:pPr>
          </w:p>
        </w:tc>
        <w:tc>
          <w:tcPr>
            <w:tcW w:w="2021" w:type="dxa"/>
          </w:tcPr>
          <w:p>
            <w:pPr>
              <w:spacing w:before="120" w:beforeLines="50" w:after="120" w:afterLines="50" w:line="288" w:lineRule="auto"/>
              <w:jc w:val="center"/>
              <w:rPr>
                <w:rFonts w:hint="eastAsia" w:ascii="宋体" w:hAnsi="宋体" w:eastAsia="宋体" w:cs="宋体"/>
                <w:color w:val="auto"/>
                <w:szCs w:val="21"/>
                <w:highlight w:val="none"/>
              </w:rPr>
            </w:pPr>
          </w:p>
        </w:tc>
        <w:tc>
          <w:tcPr>
            <w:tcW w:w="948" w:type="dxa"/>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568" w:type="dxa"/>
            <w:gridSpan w:val="7"/>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总计（列入价格汇总表）</w:t>
            </w:r>
          </w:p>
        </w:tc>
        <w:tc>
          <w:tcPr>
            <w:tcW w:w="948" w:type="dxa"/>
          </w:tcPr>
          <w:p>
            <w:pPr>
              <w:spacing w:before="120" w:beforeLines="50" w:after="120" w:afterLines="50" w:line="288" w:lineRule="auto"/>
              <w:rPr>
                <w:rFonts w:hint="eastAsia" w:ascii="宋体" w:hAnsi="宋体" w:eastAsia="宋体" w:cs="宋体"/>
                <w:color w:val="auto"/>
                <w:szCs w:val="21"/>
                <w:highlight w:val="none"/>
              </w:rPr>
            </w:pPr>
          </w:p>
        </w:tc>
      </w:tr>
    </w:tbl>
    <w:p>
      <w:pPr>
        <w:spacing w:before="120" w:beforeLines="50" w:after="120" w:afterLines="50"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注：1.如果按单价计算的结果与总价不一致，以单价为准修正总价。</w:t>
      </w:r>
    </w:p>
    <w:p>
      <w:pPr>
        <w:autoSpaceDE w:val="0"/>
        <w:autoSpaceDN w:val="0"/>
        <w:adjustRightInd w:val="0"/>
        <w:spacing w:before="120" w:beforeLines="50" w:after="120" w:afterLines="50"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2.如果不提供详细分项报价将视为没有实质性响应招标文件。</w:t>
      </w:r>
    </w:p>
    <w:p>
      <w:pPr>
        <w:pStyle w:val="14"/>
        <w:spacing w:before="120" w:beforeLines="50" w:after="120" w:afterLines="50"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3.各项货物详细技术性能应另页描述。</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autoSpaceDE w:val="0"/>
        <w:autoSpaceDN w:val="0"/>
        <w:adjustRightInd w:val="0"/>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（二）主要易损件报价清单</w:t>
      </w:r>
    </w:p>
    <w:p>
      <w:pPr>
        <w:spacing w:before="120" w:beforeLines="50" w:after="120" w:afterLines="50" w:line="288" w:lineRule="auto"/>
        <w:ind w:firstLine="435"/>
        <w:rPr>
          <w:rFonts w:hint="eastAsia" w:ascii="宋体" w:hAnsi="宋体" w:eastAsia="宋体" w:cs="宋体"/>
          <w:color w:val="auto"/>
          <w:szCs w:val="21"/>
          <w:highlight w:val="none"/>
        </w:rPr>
      </w:pPr>
    </w:p>
    <w:p>
      <w:pPr>
        <w:spacing w:before="120" w:beforeLines="50" w:after="120" w:afterLines="50" w:line="288" w:lineRule="auto"/>
        <w:ind w:left="420" w:leftChars="200" w:firstLine="14" w:firstLineChars="7"/>
        <w:rPr>
          <w:rFonts w:hint="eastAsia" w:ascii="宋体" w:hAnsi="宋体" w:eastAsia="宋体" w:cs="宋体"/>
          <w:color w:val="auto"/>
          <w:szCs w:val="21"/>
          <w:highlight w:val="none"/>
          <w:u w:val="single"/>
        </w:rPr>
      </w:pP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551"/>
        <w:gridCol w:w="805"/>
        <w:gridCol w:w="941"/>
        <w:gridCol w:w="1717"/>
        <w:gridCol w:w="1103"/>
        <w:gridCol w:w="794"/>
        <w:gridCol w:w="116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96"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03"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易损件名称</w:t>
            </w:r>
          </w:p>
        </w:tc>
        <w:tc>
          <w:tcPr>
            <w:tcW w:w="41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48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89"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（报出易损件市场单价作为买方参考）</w:t>
            </w:r>
          </w:p>
        </w:tc>
        <w:tc>
          <w:tcPr>
            <w:tcW w:w="57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41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604"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制造商</w:t>
            </w:r>
          </w:p>
        </w:tc>
        <w:tc>
          <w:tcPr>
            <w:tcW w:w="41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96"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803"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87" w:type="pct"/>
          </w:tcPr>
          <w:p>
            <w:pPr>
              <w:spacing w:before="120" w:beforeLines="50" w:after="120" w:afterLines="50" w:line="288" w:lineRule="auto"/>
              <w:jc w:val="center"/>
              <w:rPr>
                <w:rFonts w:hint="eastAsia" w:ascii="宋体" w:hAnsi="宋体" w:eastAsia="宋体" w:cs="宋体"/>
                <w:color w:val="auto"/>
                <w:szCs w:val="21"/>
                <w:highlight w:val="none"/>
              </w:rPr>
            </w:pPr>
          </w:p>
        </w:tc>
        <w:tc>
          <w:tcPr>
            <w:tcW w:w="889"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7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604"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96"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803"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87" w:type="pct"/>
          </w:tcPr>
          <w:p>
            <w:pPr>
              <w:spacing w:before="120" w:beforeLines="50" w:after="120" w:afterLines="50" w:line="288" w:lineRule="auto"/>
              <w:jc w:val="center"/>
              <w:rPr>
                <w:rFonts w:hint="eastAsia" w:ascii="宋体" w:hAnsi="宋体" w:eastAsia="宋体" w:cs="宋体"/>
                <w:color w:val="auto"/>
                <w:szCs w:val="21"/>
                <w:highlight w:val="none"/>
              </w:rPr>
            </w:pPr>
          </w:p>
        </w:tc>
        <w:tc>
          <w:tcPr>
            <w:tcW w:w="889"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7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604"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96"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803"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87" w:type="pct"/>
          </w:tcPr>
          <w:p>
            <w:pPr>
              <w:spacing w:before="120" w:beforeLines="50" w:after="120" w:afterLines="50" w:line="288" w:lineRule="auto"/>
              <w:jc w:val="center"/>
              <w:rPr>
                <w:rFonts w:hint="eastAsia" w:ascii="宋体" w:hAnsi="宋体" w:eastAsia="宋体" w:cs="宋体"/>
                <w:color w:val="auto"/>
                <w:szCs w:val="21"/>
                <w:highlight w:val="none"/>
              </w:rPr>
            </w:pPr>
          </w:p>
        </w:tc>
        <w:tc>
          <w:tcPr>
            <w:tcW w:w="889"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7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604"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trPr>
        <w:tc>
          <w:tcPr>
            <w:tcW w:w="396"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803"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87" w:type="pct"/>
          </w:tcPr>
          <w:p>
            <w:pPr>
              <w:spacing w:before="120" w:beforeLines="50" w:after="120" w:afterLines="50" w:line="288" w:lineRule="auto"/>
              <w:jc w:val="center"/>
              <w:rPr>
                <w:rFonts w:hint="eastAsia" w:ascii="宋体" w:hAnsi="宋体" w:eastAsia="宋体" w:cs="宋体"/>
                <w:color w:val="auto"/>
                <w:szCs w:val="21"/>
                <w:highlight w:val="none"/>
              </w:rPr>
            </w:pPr>
          </w:p>
        </w:tc>
        <w:tc>
          <w:tcPr>
            <w:tcW w:w="889"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7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604"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96"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803"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87" w:type="pct"/>
          </w:tcPr>
          <w:p>
            <w:pPr>
              <w:spacing w:before="120" w:beforeLines="50" w:after="120" w:afterLines="50" w:line="288" w:lineRule="auto"/>
              <w:jc w:val="center"/>
              <w:rPr>
                <w:rFonts w:hint="eastAsia" w:ascii="宋体" w:hAnsi="宋体" w:eastAsia="宋体" w:cs="宋体"/>
                <w:color w:val="auto"/>
                <w:szCs w:val="21"/>
                <w:highlight w:val="none"/>
              </w:rPr>
            </w:pPr>
          </w:p>
        </w:tc>
        <w:tc>
          <w:tcPr>
            <w:tcW w:w="889"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7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604"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1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bl>
    <w:p>
      <w:pPr>
        <w:spacing w:before="120" w:beforeLines="50" w:after="120" w:afterLines="50" w:line="288" w:lineRule="auto"/>
        <w:ind w:left="420" w:leftChars="200" w:firstLine="14" w:firstLineChars="7"/>
        <w:rPr>
          <w:rFonts w:hint="eastAsia" w:ascii="宋体" w:hAnsi="宋体" w:eastAsia="宋体" w:cs="宋体"/>
          <w:color w:val="auto"/>
          <w:szCs w:val="21"/>
          <w:highlight w:val="none"/>
          <w:u w:val="single"/>
        </w:rPr>
      </w:pPr>
    </w:p>
    <w:p>
      <w:pPr>
        <w:spacing w:before="120" w:beforeLines="50" w:after="120" w:afterLines="50" w:line="288" w:lineRule="auto"/>
        <w:ind w:firstLine="435"/>
        <w:rPr>
          <w:rFonts w:hint="eastAsia" w:ascii="宋体" w:hAnsi="宋体" w:eastAsia="宋体" w:cs="宋体"/>
          <w:color w:val="auto"/>
          <w:szCs w:val="21"/>
          <w:highlight w:val="none"/>
        </w:rPr>
      </w:pPr>
    </w:p>
    <w:p>
      <w:pPr>
        <w:spacing w:before="120" w:beforeLines="50" w:after="120" w:afterLines="50" w:line="288" w:lineRule="auto"/>
        <w:ind w:firstLine="435"/>
        <w:rPr>
          <w:rFonts w:hint="eastAsia" w:ascii="宋体" w:hAnsi="宋体" w:eastAsia="宋体" w:cs="宋体"/>
          <w:color w:val="auto"/>
          <w:szCs w:val="21"/>
          <w:highlight w:val="none"/>
        </w:rPr>
      </w:pPr>
    </w:p>
    <w:p>
      <w:pPr>
        <w:spacing w:before="120" w:beforeLines="50" w:after="120" w:afterLines="50" w:line="288" w:lineRule="auto"/>
        <w:ind w:firstLine="435"/>
        <w:rPr>
          <w:rFonts w:hint="eastAsia" w:ascii="宋体" w:hAnsi="宋体" w:eastAsia="宋体" w:cs="宋体"/>
          <w:color w:val="auto"/>
          <w:szCs w:val="21"/>
          <w:highlight w:val="none"/>
          <w:u w:val="single"/>
        </w:rPr>
      </w:pPr>
    </w:p>
    <w:p>
      <w:pPr>
        <w:spacing w:before="120" w:beforeLines="50" w:after="120" w:afterLines="50" w:line="288" w:lineRule="auto"/>
        <w:ind w:firstLine="435"/>
        <w:rPr>
          <w:rFonts w:hint="eastAsia" w:ascii="宋体" w:hAnsi="宋体" w:eastAsia="宋体" w:cs="宋体"/>
          <w:color w:val="auto"/>
          <w:szCs w:val="21"/>
          <w:highlight w:val="none"/>
          <w:u w:val="single"/>
        </w:rPr>
      </w:pPr>
    </w:p>
    <w:p>
      <w:pPr>
        <w:spacing w:before="120" w:beforeLines="50" w:after="120" w:afterLines="50" w:line="288" w:lineRule="auto"/>
        <w:ind w:firstLine="435"/>
        <w:rPr>
          <w:rFonts w:hint="eastAsia" w:ascii="宋体" w:hAnsi="宋体" w:eastAsia="宋体" w:cs="宋体"/>
          <w:color w:val="auto"/>
          <w:szCs w:val="21"/>
          <w:highlight w:val="none"/>
          <w:u w:val="single"/>
        </w:rPr>
      </w:pPr>
    </w:p>
    <w:p>
      <w:pPr>
        <w:spacing w:before="120" w:beforeLines="50" w:after="120" w:afterLines="50" w:line="288" w:lineRule="auto"/>
        <w:ind w:firstLine="435"/>
        <w:rPr>
          <w:rFonts w:hint="eastAsia" w:ascii="宋体" w:hAnsi="宋体" w:eastAsia="宋体" w:cs="宋体"/>
          <w:color w:val="auto"/>
          <w:szCs w:val="21"/>
          <w:highlight w:val="none"/>
          <w:u w:val="single"/>
        </w:rPr>
      </w:pPr>
    </w:p>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（三）备品备件及附带专用工具清单</w:t>
      </w:r>
    </w:p>
    <w:p>
      <w:pPr>
        <w:spacing w:before="120" w:beforeLines="50" w:after="120" w:afterLines="50" w:line="288" w:lineRule="auto"/>
        <w:ind w:left="420" w:leftChars="200" w:firstLine="14" w:firstLineChars="7"/>
        <w:rPr>
          <w:rFonts w:hint="eastAsia" w:ascii="宋体" w:hAnsi="宋体" w:eastAsia="宋体" w:cs="宋体"/>
          <w:color w:val="auto"/>
          <w:szCs w:val="21"/>
          <w:highlight w:val="none"/>
        </w:rPr>
      </w:pPr>
    </w:p>
    <w:p>
      <w:pPr>
        <w:spacing w:before="120" w:beforeLines="50" w:after="120" w:afterLines="50" w:line="288" w:lineRule="auto"/>
        <w:ind w:left="420" w:leftChars="200" w:firstLine="14" w:firstLineChars="7"/>
        <w:rPr>
          <w:rFonts w:hint="eastAsia" w:ascii="宋体" w:hAnsi="宋体" w:eastAsia="宋体" w:cs="宋体"/>
          <w:color w:val="auto"/>
          <w:szCs w:val="21"/>
          <w:highlight w:val="none"/>
          <w:u w:val="single"/>
        </w:rPr>
      </w:pP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32"/>
        <w:gridCol w:w="742"/>
        <w:gridCol w:w="868"/>
        <w:gridCol w:w="1587"/>
        <w:gridCol w:w="1018"/>
        <w:gridCol w:w="732"/>
        <w:gridCol w:w="1076"/>
        <w:gridCol w:w="74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6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4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备品备件及附带专用工具名称</w:t>
            </w:r>
          </w:p>
        </w:tc>
        <w:tc>
          <w:tcPr>
            <w:tcW w:w="384"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449"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2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（报出备品备件及附带专用工具市场单价作为买方参考）</w:t>
            </w:r>
          </w:p>
        </w:tc>
        <w:tc>
          <w:tcPr>
            <w:tcW w:w="52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379"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55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制造商</w:t>
            </w:r>
          </w:p>
        </w:tc>
        <w:tc>
          <w:tcPr>
            <w:tcW w:w="38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w:t>
            </w:r>
          </w:p>
        </w:tc>
        <w:tc>
          <w:tcPr>
            <w:tcW w:w="38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6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74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4"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49" w:type="pct"/>
          </w:tcPr>
          <w:p>
            <w:pPr>
              <w:spacing w:before="120" w:beforeLines="50" w:after="120" w:afterLines="50" w:line="288" w:lineRule="auto"/>
              <w:jc w:val="center"/>
              <w:rPr>
                <w:rFonts w:hint="eastAsia" w:ascii="宋体" w:hAnsi="宋体" w:eastAsia="宋体" w:cs="宋体"/>
                <w:color w:val="auto"/>
                <w:szCs w:val="21"/>
                <w:highlight w:val="none"/>
              </w:rPr>
            </w:pPr>
          </w:p>
        </w:tc>
        <w:tc>
          <w:tcPr>
            <w:tcW w:w="82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2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79"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5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6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74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4"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49" w:type="pct"/>
          </w:tcPr>
          <w:p>
            <w:pPr>
              <w:spacing w:before="120" w:beforeLines="50" w:after="120" w:afterLines="50" w:line="288" w:lineRule="auto"/>
              <w:jc w:val="center"/>
              <w:rPr>
                <w:rFonts w:hint="eastAsia" w:ascii="宋体" w:hAnsi="宋体" w:eastAsia="宋体" w:cs="宋体"/>
                <w:color w:val="auto"/>
                <w:szCs w:val="21"/>
                <w:highlight w:val="none"/>
              </w:rPr>
            </w:pPr>
          </w:p>
        </w:tc>
        <w:tc>
          <w:tcPr>
            <w:tcW w:w="82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2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79"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5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6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74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4"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49" w:type="pct"/>
          </w:tcPr>
          <w:p>
            <w:pPr>
              <w:spacing w:before="120" w:beforeLines="50" w:after="120" w:afterLines="50" w:line="288" w:lineRule="auto"/>
              <w:jc w:val="center"/>
              <w:rPr>
                <w:rFonts w:hint="eastAsia" w:ascii="宋体" w:hAnsi="宋体" w:eastAsia="宋体" w:cs="宋体"/>
                <w:color w:val="auto"/>
                <w:szCs w:val="21"/>
                <w:highlight w:val="none"/>
              </w:rPr>
            </w:pPr>
          </w:p>
        </w:tc>
        <w:tc>
          <w:tcPr>
            <w:tcW w:w="82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2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79"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5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6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74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4"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49" w:type="pct"/>
          </w:tcPr>
          <w:p>
            <w:pPr>
              <w:spacing w:before="120" w:beforeLines="50" w:after="120" w:afterLines="50" w:line="288" w:lineRule="auto"/>
              <w:jc w:val="center"/>
              <w:rPr>
                <w:rFonts w:hint="eastAsia" w:ascii="宋体" w:hAnsi="宋体" w:eastAsia="宋体" w:cs="宋体"/>
                <w:color w:val="auto"/>
                <w:szCs w:val="21"/>
                <w:highlight w:val="none"/>
              </w:rPr>
            </w:pPr>
          </w:p>
        </w:tc>
        <w:tc>
          <w:tcPr>
            <w:tcW w:w="82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2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79"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5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6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74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4"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449" w:type="pct"/>
          </w:tcPr>
          <w:p>
            <w:pPr>
              <w:spacing w:before="120" w:beforeLines="50" w:after="120" w:afterLines="50" w:line="288" w:lineRule="auto"/>
              <w:jc w:val="center"/>
              <w:rPr>
                <w:rFonts w:hint="eastAsia" w:ascii="宋体" w:hAnsi="宋体" w:eastAsia="宋体" w:cs="宋体"/>
                <w:color w:val="auto"/>
                <w:szCs w:val="21"/>
                <w:highlight w:val="none"/>
              </w:rPr>
            </w:pPr>
          </w:p>
        </w:tc>
        <w:tc>
          <w:tcPr>
            <w:tcW w:w="821"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2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79"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557"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c>
          <w:tcPr>
            <w:tcW w:w="385" w:type="pct"/>
            <w:vAlign w:val="center"/>
          </w:tcPr>
          <w:p>
            <w:pPr>
              <w:spacing w:before="120" w:beforeLines="50" w:after="120" w:afterLines="50" w:line="288" w:lineRule="auto"/>
              <w:jc w:val="center"/>
              <w:rPr>
                <w:rFonts w:hint="eastAsia" w:ascii="宋体" w:hAnsi="宋体" w:eastAsia="宋体" w:cs="宋体"/>
                <w:color w:val="auto"/>
                <w:szCs w:val="21"/>
                <w:highlight w:val="none"/>
              </w:rPr>
            </w:pPr>
          </w:p>
        </w:tc>
      </w:tr>
    </w:tbl>
    <w:p>
      <w:pPr>
        <w:spacing w:before="120" w:beforeLines="50" w:after="120" w:afterLines="50" w:line="288" w:lineRule="auto"/>
        <w:ind w:firstLine="435"/>
        <w:rPr>
          <w:rFonts w:hint="eastAsia" w:ascii="宋体" w:hAnsi="宋体" w:eastAsia="宋体" w:cs="宋体"/>
          <w:color w:val="auto"/>
          <w:szCs w:val="21"/>
          <w:highlight w:val="none"/>
        </w:rPr>
      </w:pPr>
    </w:p>
    <w:p>
      <w:pPr>
        <w:spacing w:before="120" w:beforeLines="50" w:after="120" w:afterLines="50" w:line="288" w:lineRule="auto"/>
        <w:ind w:firstLine="435"/>
        <w:rPr>
          <w:rFonts w:hint="eastAsia" w:ascii="宋体" w:hAnsi="宋体" w:eastAsia="宋体" w:cs="宋体"/>
          <w:color w:val="auto"/>
          <w:szCs w:val="21"/>
          <w:highlight w:val="none"/>
        </w:rPr>
      </w:pPr>
    </w:p>
    <w:p>
      <w:pPr>
        <w:spacing w:before="120" w:beforeLines="50" w:after="120" w:afterLines="50" w:line="288" w:lineRule="auto"/>
        <w:ind w:firstLine="435"/>
        <w:rPr>
          <w:rFonts w:hint="eastAsia" w:ascii="宋体" w:hAnsi="宋体" w:eastAsia="宋体" w:cs="宋体"/>
          <w:color w:val="auto"/>
          <w:szCs w:val="21"/>
          <w:highlight w:val="none"/>
        </w:rPr>
      </w:pPr>
    </w:p>
    <w:p>
      <w:pPr>
        <w:spacing w:before="120" w:beforeLines="50" w:after="120" w:afterLines="50" w:line="288" w:lineRule="auto"/>
        <w:ind w:firstLine="435"/>
        <w:rPr>
          <w:rFonts w:hint="eastAsia" w:ascii="宋体" w:hAnsi="宋体" w:eastAsia="宋体" w:cs="宋体"/>
          <w:color w:val="auto"/>
          <w:szCs w:val="21"/>
          <w:highlight w:val="none"/>
        </w:rPr>
      </w:pPr>
    </w:p>
    <w:p>
      <w:pPr>
        <w:spacing w:before="120" w:beforeLines="50" w:after="120" w:afterLines="50" w:line="288" w:lineRule="auto"/>
        <w:ind w:firstLine="435"/>
        <w:rPr>
          <w:rFonts w:hint="eastAsia" w:ascii="宋体" w:hAnsi="宋体" w:eastAsia="宋体" w:cs="宋体"/>
          <w:color w:val="auto"/>
          <w:szCs w:val="21"/>
          <w:highlight w:val="none"/>
        </w:rPr>
      </w:pPr>
    </w:p>
    <w:p>
      <w:pPr>
        <w:spacing w:line="312"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br w:type="page"/>
      </w:r>
    </w:p>
    <w:p>
      <w:pPr>
        <w:adjustRightInd w:val="0"/>
        <w:snapToGrid w:val="0"/>
        <w:spacing w:line="312" w:lineRule="auto"/>
        <w:jc w:val="center"/>
        <w:rPr>
          <w:rFonts w:hint="eastAsia" w:ascii="宋体" w:hAnsi="宋体" w:eastAsia="宋体" w:cs="宋体"/>
          <w:b/>
          <w:color w:val="auto"/>
          <w:w w:val="99"/>
          <w:sz w:val="32"/>
          <w:highlight w:val="none"/>
        </w:rPr>
      </w:pPr>
      <w:r>
        <w:rPr>
          <w:rFonts w:hint="eastAsia" w:ascii="宋体" w:hAnsi="宋体" w:eastAsia="宋体" w:cs="宋体"/>
          <w:b/>
          <w:color w:val="auto"/>
          <w:w w:val="99"/>
          <w:sz w:val="32"/>
          <w:highlight w:val="none"/>
        </w:rPr>
        <w:t>七、资格审查资料</w:t>
      </w:r>
    </w:p>
    <w:p>
      <w:pPr>
        <w:numPr>
          <w:ilvl w:val="0"/>
          <w:numId w:val="10"/>
        </w:numPr>
        <w:adjustRightInd w:val="0"/>
        <w:snapToGrid w:val="0"/>
        <w:spacing w:line="312" w:lineRule="auto"/>
        <w:jc w:val="center"/>
        <w:rPr>
          <w:rFonts w:hint="eastAsia" w:ascii="宋体" w:hAnsi="宋体" w:eastAsia="宋体" w:cs="宋体"/>
          <w:color w:val="auto"/>
          <w:sz w:val="28"/>
          <w:highlight w:val="none"/>
        </w:rPr>
      </w:pPr>
      <w:bookmarkStart w:id="37" w:name="page80"/>
      <w:bookmarkEnd w:id="37"/>
      <w:r>
        <w:rPr>
          <w:rFonts w:hint="eastAsia" w:ascii="宋体" w:hAnsi="宋体" w:eastAsia="宋体" w:cs="宋体"/>
          <w:color w:val="auto"/>
          <w:sz w:val="28"/>
          <w:highlight w:val="none"/>
        </w:rPr>
        <w:t>基本情况表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1243"/>
        <w:gridCol w:w="2162"/>
        <w:gridCol w:w="1159"/>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95"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3704" w:type="pct"/>
            <w:gridSpan w:val="4"/>
            <w:vAlign w:val="center"/>
          </w:tcPr>
          <w:p>
            <w:pPr>
              <w:widowControl w:val="0"/>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95"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1764" w:type="pct"/>
            <w:gridSpan w:val="2"/>
            <w:vAlign w:val="center"/>
          </w:tcPr>
          <w:p>
            <w:pPr>
              <w:widowControl w:val="0"/>
              <w:spacing w:line="312" w:lineRule="auto"/>
              <w:jc w:val="center"/>
              <w:rPr>
                <w:rFonts w:hint="eastAsia" w:ascii="宋体" w:hAnsi="宋体" w:eastAsia="宋体" w:cs="宋体"/>
                <w:color w:val="auto"/>
                <w:szCs w:val="21"/>
                <w:highlight w:val="none"/>
              </w:rPr>
            </w:pPr>
          </w:p>
        </w:tc>
        <w:tc>
          <w:tcPr>
            <w:tcW w:w="600"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339" w:type="pct"/>
            <w:vAlign w:val="center"/>
          </w:tcPr>
          <w:p>
            <w:pPr>
              <w:widowControl w:val="0"/>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95"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704" w:type="pct"/>
            <w:gridSpan w:val="4"/>
            <w:vAlign w:val="center"/>
          </w:tcPr>
          <w:p>
            <w:pPr>
              <w:widowControl w:val="0"/>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95"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764" w:type="pct"/>
            <w:gridSpan w:val="2"/>
            <w:vAlign w:val="center"/>
          </w:tcPr>
          <w:p>
            <w:pPr>
              <w:widowControl w:val="0"/>
              <w:spacing w:line="312" w:lineRule="auto"/>
              <w:jc w:val="center"/>
              <w:rPr>
                <w:rFonts w:hint="eastAsia" w:ascii="宋体" w:hAnsi="宋体" w:eastAsia="宋体" w:cs="宋体"/>
                <w:color w:val="auto"/>
                <w:szCs w:val="21"/>
                <w:highlight w:val="none"/>
              </w:rPr>
            </w:pPr>
          </w:p>
        </w:tc>
        <w:tc>
          <w:tcPr>
            <w:tcW w:w="600"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w w:val="99"/>
                <w:szCs w:val="21"/>
                <w:highlight w:val="none"/>
              </w:rPr>
              <w:t>员工总数</w:t>
            </w:r>
          </w:p>
        </w:tc>
        <w:tc>
          <w:tcPr>
            <w:tcW w:w="1339" w:type="pct"/>
            <w:vAlign w:val="center"/>
          </w:tcPr>
          <w:p>
            <w:pPr>
              <w:widowControl w:val="0"/>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95" w:type="pct"/>
            <w:vMerge w:val="restar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644"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120" w:type="pct"/>
            <w:vAlign w:val="center"/>
          </w:tcPr>
          <w:p>
            <w:pPr>
              <w:widowControl w:val="0"/>
              <w:spacing w:line="312" w:lineRule="auto"/>
              <w:jc w:val="center"/>
              <w:rPr>
                <w:rFonts w:hint="eastAsia" w:ascii="宋体" w:hAnsi="宋体" w:eastAsia="宋体" w:cs="宋体"/>
                <w:color w:val="auto"/>
                <w:szCs w:val="21"/>
                <w:highlight w:val="none"/>
              </w:rPr>
            </w:pPr>
          </w:p>
        </w:tc>
        <w:tc>
          <w:tcPr>
            <w:tcW w:w="600"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339" w:type="pct"/>
            <w:vAlign w:val="center"/>
          </w:tcPr>
          <w:p>
            <w:pPr>
              <w:widowControl w:val="0"/>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95" w:type="pct"/>
            <w:vMerge w:val="continue"/>
            <w:vAlign w:val="center"/>
          </w:tcPr>
          <w:p>
            <w:pPr>
              <w:widowControl w:val="0"/>
              <w:spacing w:line="312" w:lineRule="auto"/>
              <w:jc w:val="center"/>
              <w:rPr>
                <w:rFonts w:hint="eastAsia" w:ascii="宋体" w:hAnsi="宋体" w:eastAsia="宋体" w:cs="宋体"/>
                <w:color w:val="auto"/>
                <w:szCs w:val="21"/>
                <w:highlight w:val="none"/>
              </w:rPr>
            </w:pPr>
          </w:p>
        </w:tc>
        <w:tc>
          <w:tcPr>
            <w:tcW w:w="644"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网址</w:t>
            </w:r>
          </w:p>
        </w:tc>
        <w:tc>
          <w:tcPr>
            <w:tcW w:w="1120" w:type="pct"/>
            <w:vAlign w:val="center"/>
          </w:tcPr>
          <w:p>
            <w:pPr>
              <w:widowControl w:val="0"/>
              <w:spacing w:line="312" w:lineRule="auto"/>
              <w:jc w:val="center"/>
              <w:rPr>
                <w:rFonts w:hint="eastAsia" w:ascii="宋体" w:hAnsi="宋体" w:eastAsia="宋体" w:cs="宋体"/>
                <w:color w:val="auto"/>
                <w:szCs w:val="21"/>
                <w:highlight w:val="none"/>
              </w:rPr>
            </w:pPr>
          </w:p>
        </w:tc>
        <w:tc>
          <w:tcPr>
            <w:tcW w:w="600"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1339" w:type="pct"/>
            <w:vAlign w:val="center"/>
          </w:tcPr>
          <w:p>
            <w:pPr>
              <w:widowControl w:val="0"/>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95"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（单位负责人）</w:t>
            </w:r>
          </w:p>
        </w:tc>
        <w:tc>
          <w:tcPr>
            <w:tcW w:w="644"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20" w:type="pct"/>
            <w:vAlign w:val="center"/>
          </w:tcPr>
          <w:p>
            <w:pPr>
              <w:widowControl w:val="0"/>
              <w:spacing w:line="312" w:lineRule="auto"/>
              <w:jc w:val="center"/>
              <w:rPr>
                <w:rFonts w:hint="eastAsia" w:ascii="宋体" w:hAnsi="宋体" w:eastAsia="宋体" w:cs="宋体"/>
                <w:color w:val="auto"/>
                <w:szCs w:val="21"/>
                <w:highlight w:val="none"/>
              </w:rPr>
            </w:pPr>
          </w:p>
        </w:tc>
        <w:tc>
          <w:tcPr>
            <w:tcW w:w="600"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339" w:type="pct"/>
            <w:vAlign w:val="center"/>
          </w:tcPr>
          <w:p>
            <w:pPr>
              <w:widowControl w:val="0"/>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95"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基本账户开户银行</w:t>
            </w:r>
          </w:p>
        </w:tc>
        <w:tc>
          <w:tcPr>
            <w:tcW w:w="3704" w:type="pct"/>
            <w:gridSpan w:val="4"/>
            <w:vAlign w:val="center"/>
          </w:tcPr>
          <w:p>
            <w:pPr>
              <w:widowControl w:val="0"/>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95"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基本账户银行账号</w:t>
            </w:r>
          </w:p>
        </w:tc>
        <w:tc>
          <w:tcPr>
            <w:tcW w:w="3704" w:type="pct"/>
            <w:gridSpan w:val="4"/>
            <w:vAlign w:val="center"/>
          </w:tcPr>
          <w:p>
            <w:pPr>
              <w:widowControl w:val="0"/>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95"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近三年营业额</w:t>
            </w:r>
          </w:p>
        </w:tc>
        <w:tc>
          <w:tcPr>
            <w:tcW w:w="3704" w:type="pct"/>
            <w:gridSpan w:val="4"/>
            <w:vAlign w:val="center"/>
          </w:tcPr>
          <w:p>
            <w:pPr>
              <w:widowControl w:val="0"/>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投标人关联企业情况（包括但不限于与投标人法定代表人为同一人或者存在控、管理关系的不同单位）</w:t>
            </w:r>
          </w:p>
        </w:tc>
        <w:tc>
          <w:tcPr>
            <w:tcW w:w="3704" w:type="pct"/>
            <w:gridSpan w:val="4"/>
            <w:vAlign w:val="center"/>
          </w:tcPr>
          <w:p>
            <w:pPr>
              <w:widowControl w:val="0"/>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95" w:type="pct"/>
            <w:vAlign w:val="center"/>
          </w:tcPr>
          <w:p>
            <w:pPr>
              <w:widowControl w:val="0"/>
              <w:spacing w:line="312" w:lineRule="auto"/>
              <w:jc w:val="center"/>
              <w:rPr>
                <w:rFonts w:hint="eastAsia" w:ascii="宋体" w:hAnsi="宋体" w:eastAsia="宋体" w:cs="宋体"/>
                <w:color w:val="auto"/>
                <w:w w:val="99"/>
                <w:szCs w:val="21"/>
                <w:highlight w:val="none"/>
              </w:rPr>
            </w:pPr>
            <w:r>
              <w:rPr>
                <w:rFonts w:hint="eastAsia" w:ascii="宋体" w:hAnsi="宋体" w:eastAsia="宋体" w:cs="宋体"/>
                <w:color w:val="auto"/>
                <w:szCs w:val="21"/>
                <w:highlight w:val="none"/>
              </w:rPr>
              <w:t>投标设备制造商名称</w:t>
            </w:r>
          </w:p>
        </w:tc>
        <w:tc>
          <w:tcPr>
            <w:tcW w:w="3704" w:type="pct"/>
            <w:gridSpan w:val="4"/>
            <w:vAlign w:val="center"/>
          </w:tcPr>
          <w:p>
            <w:pPr>
              <w:widowControl w:val="0"/>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95"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投标人须知要求投标设备制造商需具有的资质证书</w:t>
            </w:r>
          </w:p>
        </w:tc>
        <w:tc>
          <w:tcPr>
            <w:tcW w:w="3704" w:type="pct"/>
            <w:gridSpan w:val="4"/>
            <w:vAlign w:val="center"/>
          </w:tcPr>
          <w:p>
            <w:pPr>
              <w:widowControl w:val="0"/>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295" w:type="pct"/>
            <w:vAlign w:val="center"/>
          </w:tcPr>
          <w:p>
            <w:pPr>
              <w:widowControl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3704" w:type="pct"/>
            <w:gridSpan w:val="4"/>
            <w:vAlign w:val="center"/>
          </w:tcPr>
          <w:p>
            <w:pPr>
              <w:widowControl w:val="0"/>
              <w:spacing w:line="312" w:lineRule="auto"/>
              <w:jc w:val="center"/>
              <w:rPr>
                <w:rFonts w:hint="eastAsia" w:ascii="宋体" w:hAnsi="宋体" w:eastAsia="宋体" w:cs="宋体"/>
                <w:color w:val="auto"/>
                <w:szCs w:val="21"/>
                <w:highlight w:val="none"/>
              </w:rPr>
            </w:pPr>
          </w:p>
        </w:tc>
      </w:tr>
    </w:tbl>
    <w:p>
      <w:pPr>
        <w:spacing w:before="120" w:beforeLines="50" w:after="120" w:afterLines="50"/>
        <w:rPr>
          <w:rFonts w:hint="eastAsia" w:ascii="宋体" w:hAnsi="宋体" w:eastAsia="宋体" w:cs="宋体"/>
          <w:bCs/>
          <w:color w:val="auto"/>
          <w:kern w:val="0"/>
          <w:szCs w:val="21"/>
          <w:highlight w:val="none"/>
        </w:rPr>
      </w:pPr>
      <w:bookmarkStart w:id="38" w:name="page81"/>
      <w:bookmarkEnd w:id="38"/>
      <w:bookmarkStart w:id="39" w:name="page83"/>
      <w:bookmarkEnd w:id="39"/>
      <w:r>
        <w:rPr>
          <w:rFonts w:hint="eastAsia" w:ascii="宋体" w:hAnsi="宋体" w:eastAsia="宋体" w:cs="宋体"/>
          <w:bCs/>
          <w:color w:val="auto"/>
          <w:szCs w:val="21"/>
          <w:highlight w:val="none"/>
        </w:rPr>
        <w:t>注：本表后应附营业执照（副本）复印件。</w:t>
      </w:r>
    </w:p>
    <w:p>
      <w:pPr>
        <w:spacing w:line="312" w:lineRule="auto"/>
        <w:ind w:left="140"/>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jc w:val="left"/>
        <w:rPr>
          <w:rFonts w:hint="eastAsia" w:ascii="宋体" w:hAnsi="宋体" w:eastAsia="宋体" w:cs="宋体"/>
          <w:bCs/>
          <w:color w:val="auto"/>
          <w:sz w:val="24"/>
          <w:szCs w:val="21"/>
          <w:highlight w:val="none"/>
        </w:rPr>
      </w:pPr>
      <w:bookmarkStart w:id="40" w:name="page87"/>
      <w:bookmarkEnd w:id="40"/>
    </w:p>
    <w:p>
      <w:pPr>
        <w:spacing w:before="120" w:beforeLines="50" w:after="120" w:afterLines="50" w:line="312" w:lineRule="auto"/>
        <w:jc w:val="center"/>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（二）供应商资格声明</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致：（采购人）</w:t>
      </w:r>
    </w:p>
    <w:p>
      <w:pPr>
        <w:pStyle w:val="14"/>
        <w:spacing w:before="120" w:beforeLines="50" w:after="120" w:afterLines="50" w:line="312" w:lineRule="auto"/>
        <w:rPr>
          <w:rFonts w:hint="eastAsia" w:ascii="宋体" w:hAnsi="宋体" w:eastAsia="宋体" w:cs="宋体"/>
          <w:color w:val="auto"/>
          <w:szCs w:val="21"/>
          <w:highlight w:val="none"/>
        </w:rPr>
      </w:pPr>
    </w:p>
    <w:p>
      <w:pPr>
        <w:pStyle w:val="14"/>
        <w:spacing w:before="120" w:beforeLines="50" w:after="120" w:afterLines="50" w:line="312" w:lineRule="auto"/>
        <w:jc w:val="center"/>
        <w:rPr>
          <w:rFonts w:hint="eastAsia" w:ascii="宋体" w:hAnsi="宋体" w:eastAsia="宋体" w:cs="宋体"/>
          <w:color w:val="auto"/>
          <w:szCs w:val="21"/>
          <w:highlight w:val="none"/>
        </w:rPr>
      </w:pPr>
      <w:bookmarkStart w:id="41" w:name="_Toc19941_WPSOffice_Level2"/>
      <w:bookmarkStart w:id="42" w:name="_Toc30793_WPSOffice_Level2"/>
      <w:r>
        <w:rPr>
          <w:rFonts w:hint="eastAsia" w:ascii="宋体" w:hAnsi="宋体" w:eastAsia="宋体" w:cs="宋体"/>
          <w:color w:val="auto"/>
          <w:szCs w:val="21"/>
          <w:highlight w:val="none"/>
        </w:rPr>
        <w:t>供应商资格声明</w:t>
      </w:r>
      <w:bookmarkEnd w:id="41"/>
      <w:bookmarkEnd w:id="42"/>
    </w:p>
    <w:p>
      <w:pPr>
        <w:pStyle w:val="14"/>
        <w:spacing w:before="120" w:beforeLines="50" w:after="120" w:afterLines="50" w:line="312" w:lineRule="auto"/>
        <w:rPr>
          <w:rFonts w:hint="eastAsia" w:ascii="宋体" w:hAnsi="宋体" w:eastAsia="宋体" w:cs="宋体"/>
          <w:color w:val="auto"/>
          <w:szCs w:val="21"/>
          <w:highlight w:val="none"/>
        </w:rPr>
      </w:pPr>
    </w:p>
    <w:p>
      <w:pPr>
        <w:pStyle w:val="14"/>
        <w:snapToGrid w:val="0"/>
        <w:spacing w:before="120" w:beforeLines="50" w:after="120" w:afterLines="5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为响应你方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日的</w:t>
      </w:r>
      <w:r>
        <w:rPr>
          <w:rFonts w:hint="eastAsia" w:ascii="宋体" w:hAnsi="宋体" w:eastAsia="宋体" w:cs="宋体"/>
          <w:color w:val="auto"/>
          <w:szCs w:val="21"/>
          <w:highlight w:val="none"/>
          <w:u w:val="single"/>
        </w:rPr>
        <w:t>（招标编号）</w:t>
      </w:r>
      <w:r>
        <w:rPr>
          <w:rFonts w:hint="eastAsia" w:ascii="宋体" w:hAnsi="宋体" w:eastAsia="宋体" w:cs="宋体"/>
          <w:color w:val="auto"/>
          <w:szCs w:val="21"/>
          <w:highlight w:val="none"/>
        </w:rPr>
        <w:t>招标公告，下述签字人愿参与投标，提供货物一览表中规定的</w:t>
      </w:r>
      <w:r>
        <w:rPr>
          <w:rFonts w:hint="eastAsia" w:ascii="宋体" w:hAnsi="宋体" w:eastAsia="宋体" w:cs="宋体"/>
          <w:color w:val="auto"/>
          <w:szCs w:val="21"/>
          <w:highlight w:val="none"/>
          <w:u w:val="single"/>
        </w:rPr>
        <w:t>（货物名称）</w:t>
      </w:r>
      <w:r>
        <w:rPr>
          <w:rFonts w:hint="eastAsia" w:ascii="宋体" w:hAnsi="宋体" w:eastAsia="宋体" w:cs="宋体"/>
          <w:color w:val="auto"/>
          <w:szCs w:val="21"/>
          <w:highlight w:val="none"/>
        </w:rPr>
        <w:t xml:space="preserve">，提交下述文件并声明全部说明是真实的和正确的。    </w:t>
      </w:r>
    </w:p>
    <w:p>
      <w:pPr>
        <w:pStyle w:val="14"/>
        <w:snapToGrid w:val="0"/>
        <w:spacing w:before="120" w:beforeLines="50" w:after="120" w:afterLines="5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1）生产厂家的资格声明，各有1份正本，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副本。    </w:t>
      </w:r>
    </w:p>
    <w:p>
      <w:pPr>
        <w:pStyle w:val="14"/>
        <w:snapToGrid w:val="0"/>
        <w:spacing w:before="120" w:beforeLines="50" w:after="120" w:afterLines="5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2）下述签字人在证书中证明本资格文件中的内容是真实的和正确的。    </w:t>
      </w:r>
    </w:p>
    <w:p>
      <w:pPr>
        <w:pStyle w:val="14"/>
        <w:snapToGrid w:val="0"/>
        <w:spacing w:before="120" w:beforeLines="50" w:after="120" w:afterLines="5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3）下述签字人知道，采购人可能要求提供进一步的资格材料，我方愿意配合你方，向有关机构和单位（如银行、会计师事务所、相关企业等）查证和获得有关资料。</w:t>
      </w:r>
    </w:p>
    <w:p>
      <w:pPr>
        <w:pStyle w:val="14"/>
        <w:spacing w:before="120" w:beforeLines="50" w:after="120" w:afterLines="50" w:line="312" w:lineRule="auto"/>
        <w:rPr>
          <w:rFonts w:hint="eastAsia" w:ascii="宋体" w:hAnsi="宋体" w:eastAsia="宋体" w:cs="宋体"/>
          <w:color w:val="auto"/>
          <w:szCs w:val="21"/>
          <w:highlight w:val="none"/>
        </w:rPr>
      </w:pP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供应商（单位公章）                  受权签署本资格文件</w:t>
      </w:r>
    </w:p>
    <w:p>
      <w:pPr>
        <w:pStyle w:val="14"/>
        <w:spacing w:before="120" w:beforeLines="50" w:after="120" w:afterLines="50" w:line="312" w:lineRule="auto"/>
        <w:rPr>
          <w:rFonts w:hint="eastAsia" w:ascii="宋体" w:hAnsi="宋体" w:eastAsia="宋体" w:cs="宋体"/>
          <w:color w:val="auto"/>
          <w:szCs w:val="21"/>
          <w:highlight w:val="none"/>
        </w:rPr>
      </w:pP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签字人姓名、职务（印刷字体）</w:t>
      </w:r>
    </w:p>
    <w:p>
      <w:pPr>
        <w:pStyle w:val="14"/>
        <w:spacing w:before="120" w:beforeLines="50" w:after="120" w:afterLines="50" w:line="312" w:lineRule="auto"/>
        <w:rPr>
          <w:rFonts w:hint="eastAsia" w:ascii="宋体" w:hAnsi="宋体" w:eastAsia="宋体" w:cs="宋体"/>
          <w:color w:val="auto"/>
          <w:szCs w:val="21"/>
          <w:highlight w:val="none"/>
        </w:rPr>
      </w:pP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rPr>
      </w:pP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rPr>
      </w:pPr>
    </w:p>
    <w:p>
      <w:pPr>
        <w:spacing w:before="120" w:beforeLines="50" w:after="120" w:afterLines="5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bookmarkStart w:id="43" w:name="_Toc450588646"/>
      <w:bookmarkStart w:id="44" w:name="_Toc25409_WPSOffice_Level2"/>
      <w:bookmarkStart w:id="45" w:name="_Toc16596_WPSOffice_Level2"/>
      <w:r>
        <w:rPr>
          <w:rFonts w:hint="eastAsia" w:ascii="宋体" w:hAnsi="宋体" w:eastAsia="宋体" w:cs="宋体"/>
          <w:color w:val="auto"/>
          <w:sz w:val="28"/>
          <w:szCs w:val="22"/>
          <w:highlight w:val="none"/>
        </w:rPr>
        <w:t>（三）核心产品生产厂家资格声明</w:t>
      </w:r>
      <w:bookmarkEnd w:id="43"/>
      <w:bookmarkEnd w:id="44"/>
      <w:bookmarkEnd w:id="45"/>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1．名称及概况：</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（1）生产厂家名称：</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（2）总部地址：</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ind w:firstLine="210" w:firstLineChars="1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传真／电话号码：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（3）成立和／或注册日期：</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（4）实收资本：</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（5）近期资产负债表（到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w:t>
      </w:r>
    </w:p>
    <w:p>
      <w:pPr>
        <w:pStyle w:val="14"/>
        <w:spacing w:before="120" w:beforeLines="50" w:after="120" w:afterLines="5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①同定资产：</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②流动资产：</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③长期负债：</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④流动负债：</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⑤净值：</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（6）法定代表人姓名：</w:t>
      </w:r>
      <w:r>
        <w:rPr>
          <w:rFonts w:hint="eastAsia" w:ascii="宋体" w:hAnsi="宋体" w:eastAsia="宋体" w:cs="宋体"/>
          <w:color w:val="auto"/>
          <w:szCs w:val="21"/>
          <w:highlight w:val="none"/>
          <w:u w:val="single"/>
        </w:rPr>
        <w:t xml:space="preserve">                                                </w:t>
      </w:r>
    </w:p>
    <w:p>
      <w:pPr>
        <w:topLinePunct/>
        <w:spacing w:before="120" w:beforeLines="50" w:after="120" w:afterLines="50" w:line="312" w:lineRule="auto"/>
        <w:ind w:firstLine="105" w:firstLineChars="5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（7）企业规模：</w:t>
      </w:r>
      <w:r>
        <w:rPr>
          <w:rFonts w:hint="eastAsia" w:ascii="宋体" w:hAnsi="宋体" w:eastAsia="宋体" w:cs="宋体"/>
          <w:color w:val="auto"/>
          <w:szCs w:val="21"/>
          <w:highlight w:val="none"/>
          <w:u w:val="single"/>
        </w:rPr>
        <w:t xml:space="preserve">      (大/中/小/微型)                                   </w:t>
      </w:r>
    </w:p>
    <w:p>
      <w:pPr>
        <w:topLinePunct/>
        <w:spacing w:before="120" w:beforeLines="50" w:after="120" w:afterLines="50" w:line="312" w:lineRule="auto"/>
        <w:ind w:firstLine="105" w:firstLine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（8）员工总人数：</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2．（1）制造所投货物的设施及有关情况：</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工厂名称地址   主要设施名称      年生产能力    职工人数</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（2）本生产厂家不生产，而需从其它生产厂家购买的主要零部件：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主要零部件名称       生产厂家名称和地址</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3．本生产厂家生产投标货物的经验（包括年限、项目业主、额定能力、商业运营的起始日期等）：</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4．近3年该货物主要销售给国内、外主要客户的名称地址：</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（l）出口销售</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（用户名称和地址）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（销售项目名称）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（2）国内销售</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（用主户名称和地址）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（销售项目名称）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5．近三年的营业额      </w:t>
      </w:r>
    </w:p>
    <w:p>
      <w:pPr>
        <w:pStyle w:val="14"/>
        <w:spacing w:before="120" w:beforeLines="50" w:after="120" w:afterLines="50" w:line="312"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年度                     国内             国外            总额</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6．易损件供应商的名称和地址：</w:t>
      </w:r>
    </w:p>
    <w:p>
      <w:pPr>
        <w:pStyle w:val="14"/>
        <w:spacing w:before="120" w:beforeLines="50" w:after="120" w:afterLines="50" w:line="312" w:lineRule="auto"/>
        <w:ind w:firstLine="1575" w:firstLineChars="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易损件名称              供应商名称和地址</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7．最近3年直接或通过贸易公司提供的投标货物：</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合同编号：</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签字日期：</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数  量：</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合同金额：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8．开立基本帐户银行的名称和地址：</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9．其他情况：</w:t>
      </w:r>
      <w:r>
        <w:rPr>
          <w:rFonts w:hint="eastAsia" w:ascii="宋体" w:hAnsi="宋体" w:eastAsia="宋体" w:cs="宋体"/>
          <w:color w:val="auto"/>
          <w:szCs w:val="21"/>
          <w:highlight w:val="none"/>
          <w:u w:val="single"/>
        </w:rPr>
        <w:t xml:space="preserve"> （组织机构、技术力量等）                               </w:t>
      </w:r>
    </w:p>
    <w:p>
      <w:pPr>
        <w:pStyle w:val="14"/>
        <w:spacing w:before="120" w:beforeLines="50" w:after="120" w:afterLines="5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兹证明上述声明是真实、正确的，并提供了全部能提供的资料和数据，我们同意遵照贵方要求出示有关证明文件。</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（单位公章）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签字日期</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pStyle w:val="14"/>
        <w:spacing w:before="120" w:beforeLines="50" w:after="120" w:afterLines="50" w:line="312"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电子函件</w:t>
      </w:r>
      <w:r>
        <w:rPr>
          <w:rFonts w:hint="eastAsia" w:ascii="宋体" w:hAnsi="宋体" w:eastAsia="宋体" w:cs="宋体"/>
          <w:color w:val="auto"/>
          <w:szCs w:val="21"/>
          <w:highlight w:val="none"/>
          <w:u w:val="single"/>
        </w:rPr>
        <w:t xml:space="preserve">                                                  </w:t>
      </w:r>
    </w:p>
    <w:p>
      <w:pPr>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8"/>
          <w:highlight w:val="none"/>
        </w:rPr>
        <w:t>（四）近年财务状况表</w:t>
      </w:r>
    </w:p>
    <w:p>
      <w:pPr>
        <w:spacing w:line="312" w:lineRule="auto"/>
        <w:jc w:val="left"/>
        <w:rPr>
          <w:rFonts w:hint="eastAsia" w:ascii="宋体" w:hAnsi="宋体" w:eastAsia="宋体" w:cs="宋体"/>
          <w:color w:val="auto"/>
          <w:sz w:val="24"/>
          <w:highlight w:val="none"/>
        </w:rPr>
      </w:pPr>
    </w:p>
    <w:tbl>
      <w:tblPr>
        <w:tblStyle w:val="28"/>
        <w:tblW w:w="9597" w:type="dxa"/>
        <w:tblInd w:w="0" w:type="dxa"/>
        <w:tblLayout w:type="fixed"/>
        <w:tblCellMar>
          <w:top w:w="0" w:type="dxa"/>
          <w:left w:w="108" w:type="dxa"/>
          <w:bottom w:w="0" w:type="dxa"/>
          <w:right w:w="108" w:type="dxa"/>
        </w:tblCellMar>
      </w:tblPr>
      <w:tblGrid>
        <w:gridCol w:w="2389"/>
        <w:gridCol w:w="1610"/>
        <w:gridCol w:w="1520"/>
        <w:gridCol w:w="2039"/>
        <w:gridCol w:w="2039"/>
      </w:tblGrid>
      <w:tr>
        <w:tblPrEx>
          <w:tblCellMar>
            <w:top w:w="0" w:type="dxa"/>
            <w:left w:w="108" w:type="dxa"/>
            <w:bottom w:w="0" w:type="dxa"/>
            <w:right w:w="108" w:type="dxa"/>
          </w:tblCellMar>
        </w:tblPrEx>
        <w:trPr>
          <w:trHeight w:val="600" w:hRule="atLeast"/>
        </w:trPr>
        <w:tc>
          <w:tcPr>
            <w:tcW w:w="2389"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项目或指标</w:t>
            </w:r>
          </w:p>
        </w:tc>
        <w:tc>
          <w:tcPr>
            <w:tcW w:w="161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单位</w:t>
            </w:r>
          </w:p>
        </w:tc>
        <w:tc>
          <w:tcPr>
            <w:tcW w:w="1520"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201</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年</w:t>
            </w:r>
          </w:p>
        </w:tc>
        <w:tc>
          <w:tcPr>
            <w:tcW w:w="2039"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20</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年</w:t>
            </w:r>
          </w:p>
        </w:tc>
        <w:tc>
          <w:tcPr>
            <w:tcW w:w="2039"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20</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zh-CN"/>
              </w:rPr>
              <w:t>年</w:t>
            </w:r>
          </w:p>
        </w:tc>
      </w:tr>
      <w:tr>
        <w:tblPrEx>
          <w:tblCellMar>
            <w:top w:w="0" w:type="dxa"/>
            <w:left w:w="108" w:type="dxa"/>
            <w:bottom w:w="0" w:type="dxa"/>
            <w:right w:w="108" w:type="dxa"/>
          </w:tblCellMar>
        </w:tblPrEx>
        <w:trPr>
          <w:trHeight w:val="571" w:hRule="atLeast"/>
        </w:trPr>
        <w:tc>
          <w:tcPr>
            <w:tcW w:w="238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总资产</w:t>
            </w:r>
          </w:p>
        </w:tc>
        <w:tc>
          <w:tcPr>
            <w:tcW w:w="16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r>
      <w:tr>
        <w:tblPrEx>
          <w:tblCellMar>
            <w:top w:w="0" w:type="dxa"/>
            <w:left w:w="108" w:type="dxa"/>
            <w:bottom w:w="0" w:type="dxa"/>
            <w:right w:w="108" w:type="dxa"/>
          </w:tblCellMar>
        </w:tblPrEx>
        <w:trPr>
          <w:trHeight w:val="571" w:hRule="atLeast"/>
        </w:trPr>
        <w:tc>
          <w:tcPr>
            <w:tcW w:w="238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流动资产</w:t>
            </w:r>
          </w:p>
        </w:tc>
        <w:tc>
          <w:tcPr>
            <w:tcW w:w="16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r>
      <w:tr>
        <w:tblPrEx>
          <w:tblCellMar>
            <w:top w:w="0" w:type="dxa"/>
            <w:left w:w="108" w:type="dxa"/>
            <w:bottom w:w="0" w:type="dxa"/>
            <w:right w:w="108" w:type="dxa"/>
          </w:tblCellMar>
        </w:tblPrEx>
        <w:trPr>
          <w:trHeight w:val="571" w:hRule="atLeast"/>
        </w:trPr>
        <w:tc>
          <w:tcPr>
            <w:tcW w:w="238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货币资金</w:t>
            </w:r>
          </w:p>
        </w:tc>
        <w:tc>
          <w:tcPr>
            <w:tcW w:w="16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r>
      <w:tr>
        <w:tblPrEx>
          <w:tblCellMar>
            <w:top w:w="0" w:type="dxa"/>
            <w:left w:w="108" w:type="dxa"/>
            <w:bottom w:w="0" w:type="dxa"/>
            <w:right w:w="108" w:type="dxa"/>
          </w:tblCellMar>
        </w:tblPrEx>
        <w:trPr>
          <w:trHeight w:val="711" w:hRule="atLeast"/>
        </w:trPr>
        <w:tc>
          <w:tcPr>
            <w:tcW w:w="238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固定资产（原值）</w:t>
            </w:r>
          </w:p>
        </w:tc>
        <w:tc>
          <w:tcPr>
            <w:tcW w:w="16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r>
      <w:tr>
        <w:tblPrEx>
          <w:tblCellMar>
            <w:top w:w="0" w:type="dxa"/>
            <w:left w:w="108" w:type="dxa"/>
            <w:bottom w:w="0" w:type="dxa"/>
            <w:right w:w="108" w:type="dxa"/>
          </w:tblCellMar>
        </w:tblPrEx>
        <w:trPr>
          <w:trHeight w:val="711" w:hRule="atLeast"/>
        </w:trPr>
        <w:tc>
          <w:tcPr>
            <w:tcW w:w="238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固定资产（净值）</w:t>
            </w:r>
          </w:p>
        </w:tc>
        <w:tc>
          <w:tcPr>
            <w:tcW w:w="16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r>
      <w:tr>
        <w:tblPrEx>
          <w:tblCellMar>
            <w:top w:w="0" w:type="dxa"/>
            <w:left w:w="108" w:type="dxa"/>
            <w:bottom w:w="0" w:type="dxa"/>
            <w:right w:w="108" w:type="dxa"/>
          </w:tblCellMar>
        </w:tblPrEx>
        <w:trPr>
          <w:trHeight w:val="571" w:hRule="atLeast"/>
        </w:trPr>
        <w:tc>
          <w:tcPr>
            <w:tcW w:w="238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流动负债</w:t>
            </w:r>
          </w:p>
        </w:tc>
        <w:tc>
          <w:tcPr>
            <w:tcW w:w="16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r>
      <w:tr>
        <w:tblPrEx>
          <w:tblCellMar>
            <w:top w:w="0" w:type="dxa"/>
            <w:left w:w="108" w:type="dxa"/>
            <w:bottom w:w="0" w:type="dxa"/>
            <w:right w:w="108" w:type="dxa"/>
          </w:tblCellMar>
        </w:tblPrEx>
        <w:trPr>
          <w:trHeight w:val="571" w:hRule="atLeast"/>
        </w:trPr>
        <w:tc>
          <w:tcPr>
            <w:tcW w:w="238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长期负债</w:t>
            </w:r>
          </w:p>
        </w:tc>
        <w:tc>
          <w:tcPr>
            <w:tcW w:w="16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r>
      <w:tr>
        <w:tblPrEx>
          <w:tblCellMar>
            <w:top w:w="0" w:type="dxa"/>
            <w:left w:w="108" w:type="dxa"/>
            <w:bottom w:w="0" w:type="dxa"/>
            <w:right w:w="108" w:type="dxa"/>
          </w:tblCellMar>
        </w:tblPrEx>
        <w:trPr>
          <w:trHeight w:val="571" w:hRule="atLeast"/>
        </w:trPr>
        <w:tc>
          <w:tcPr>
            <w:tcW w:w="238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主营业务收入</w:t>
            </w:r>
          </w:p>
        </w:tc>
        <w:tc>
          <w:tcPr>
            <w:tcW w:w="16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r>
      <w:tr>
        <w:tblPrEx>
          <w:tblCellMar>
            <w:top w:w="0" w:type="dxa"/>
            <w:left w:w="108" w:type="dxa"/>
            <w:bottom w:w="0" w:type="dxa"/>
            <w:right w:w="108" w:type="dxa"/>
          </w:tblCellMar>
        </w:tblPrEx>
        <w:trPr>
          <w:trHeight w:val="571" w:hRule="atLeast"/>
        </w:trPr>
        <w:tc>
          <w:tcPr>
            <w:tcW w:w="238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利润总额</w:t>
            </w:r>
          </w:p>
        </w:tc>
        <w:tc>
          <w:tcPr>
            <w:tcW w:w="16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r>
      <w:tr>
        <w:tblPrEx>
          <w:tblCellMar>
            <w:top w:w="0" w:type="dxa"/>
            <w:left w:w="108" w:type="dxa"/>
            <w:bottom w:w="0" w:type="dxa"/>
            <w:right w:w="108" w:type="dxa"/>
          </w:tblCellMar>
        </w:tblPrEx>
        <w:trPr>
          <w:trHeight w:val="571" w:hRule="atLeast"/>
        </w:trPr>
        <w:tc>
          <w:tcPr>
            <w:tcW w:w="238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税后利润</w:t>
            </w:r>
          </w:p>
        </w:tc>
        <w:tc>
          <w:tcPr>
            <w:tcW w:w="16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c>
          <w:tcPr>
            <w:tcW w:w="203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p>
        </w:tc>
      </w:tr>
      <w:tr>
        <w:tblPrEx>
          <w:tblCellMar>
            <w:top w:w="0" w:type="dxa"/>
            <w:left w:w="108" w:type="dxa"/>
            <w:bottom w:w="0" w:type="dxa"/>
            <w:right w:w="108" w:type="dxa"/>
          </w:tblCellMar>
        </w:tblPrEx>
        <w:trPr>
          <w:trHeight w:val="1194" w:hRule="atLeast"/>
        </w:trPr>
        <w:tc>
          <w:tcPr>
            <w:tcW w:w="238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备     注</w:t>
            </w:r>
          </w:p>
        </w:tc>
        <w:tc>
          <w:tcPr>
            <w:tcW w:w="3130" w:type="dxa"/>
            <w:gridSpan w:val="2"/>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12" w:lineRule="auto"/>
              <w:rPr>
                <w:rFonts w:hint="eastAsia" w:ascii="宋体" w:hAnsi="宋体" w:eastAsia="宋体" w:cs="宋体"/>
                <w:b/>
                <w:bCs/>
                <w:color w:val="auto"/>
                <w:szCs w:val="21"/>
                <w:highlight w:val="none"/>
                <w:lang w:val="zh-CN"/>
              </w:rPr>
            </w:pPr>
          </w:p>
        </w:tc>
        <w:tc>
          <w:tcPr>
            <w:tcW w:w="2039"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12" w:lineRule="auto"/>
              <w:rPr>
                <w:rFonts w:hint="eastAsia" w:ascii="宋体" w:hAnsi="宋体" w:eastAsia="宋体" w:cs="宋体"/>
                <w:b/>
                <w:bCs/>
                <w:color w:val="auto"/>
                <w:szCs w:val="21"/>
                <w:highlight w:val="none"/>
                <w:lang w:val="zh-CN"/>
              </w:rPr>
            </w:pPr>
          </w:p>
        </w:tc>
        <w:tc>
          <w:tcPr>
            <w:tcW w:w="2039"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12" w:lineRule="auto"/>
              <w:rPr>
                <w:rFonts w:hint="eastAsia" w:ascii="宋体" w:hAnsi="宋体" w:eastAsia="宋体" w:cs="宋体"/>
                <w:b/>
                <w:bCs/>
                <w:color w:val="auto"/>
                <w:szCs w:val="21"/>
                <w:highlight w:val="none"/>
                <w:lang w:val="zh-CN"/>
              </w:rPr>
            </w:pPr>
          </w:p>
        </w:tc>
      </w:tr>
    </w:tbl>
    <w:p>
      <w:pPr>
        <w:topLinePunct/>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附经会计师事务所或审计机构出具的年度财务审计报告</w:t>
      </w:r>
      <w:r>
        <w:rPr>
          <w:rFonts w:hint="eastAsia" w:ascii="宋体" w:hAnsi="宋体" w:eastAsia="宋体" w:cs="宋体"/>
          <w:bCs/>
          <w:color w:val="auto"/>
          <w:highlight w:val="none"/>
          <w:lang w:val="en-US" w:eastAsia="zh-CN"/>
        </w:rPr>
        <w:t>或</w:t>
      </w:r>
      <w:r>
        <w:rPr>
          <w:rFonts w:hint="eastAsia" w:ascii="宋体" w:hAnsi="宋体" w:eastAsia="宋体" w:cs="宋体"/>
          <w:color w:val="auto"/>
          <w:highlight w:val="none"/>
        </w:rPr>
        <w:t>资信证明</w:t>
      </w:r>
      <w:r>
        <w:rPr>
          <w:rFonts w:hint="eastAsia" w:ascii="宋体" w:hAnsi="宋体" w:eastAsia="宋体" w:cs="宋体"/>
          <w:bCs/>
          <w:color w:val="auto"/>
          <w:highlight w:val="none"/>
        </w:rPr>
        <w:t>复印件，具体年份要求见投标人须知前附表。</w:t>
      </w:r>
    </w:p>
    <w:p>
      <w:pPr>
        <w:spacing w:line="312" w:lineRule="auto"/>
        <w:ind w:left="140"/>
        <w:jc w:val="left"/>
        <w:rPr>
          <w:rFonts w:hint="eastAsia" w:ascii="宋体" w:hAnsi="宋体" w:eastAsia="宋体" w:cs="宋体"/>
          <w:color w:val="auto"/>
          <w:highlight w:val="none"/>
        </w:rPr>
      </w:pPr>
      <w:r>
        <w:rPr>
          <w:rFonts w:hint="eastAsia" w:ascii="宋体" w:hAnsi="宋体" w:eastAsia="宋体" w:cs="宋体"/>
          <w:color w:val="auto"/>
          <w:sz w:val="28"/>
          <w:highlight w:val="none"/>
        </w:rPr>
        <w:br w:type="page"/>
      </w:r>
    </w:p>
    <w:p>
      <w:pPr>
        <w:spacing w:line="312" w:lineRule="auto"/>
        <w:ind w:left="140"/>
        <w:jc w:val="center"/>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（八）承诺函</w:t>
      </w:r>
    </w:p>
    <w:p>
      <w:pPr>
        <w:pStyle w:val="8"/>
        <w:spacing w:line="312" w:lineRule="auto"/>
        <w:ind w:firstLine="0"/>
        <w:jc w:val="both"/>
        <w:rPr>
          <w:rFonts w:hint="eastAsia" w:ascii="宋体" w:hAnsi="宋体" w:eastAsia="宋体" w:cs="宋体"/>
          <w:bCs/>
          <w:color w:val="auto"/>
          <w:sz w:val="21"/>
          <w:szCs w:val="21"/>
          <w:highlight w:val="none"/>
        </w:rPr>
      </w:pPr>
    </w:p>
    <w:p>
      <w:pPr>
        <w:spacing w:line="312" w:lineRule="auto"/>
        <w:ind w:left="420" w:hanging="420" w:hanging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我公司承诺：</w:t>
      </w:r>
    </w:p>
    <w:p>
      <w:pPr>
        <w:numPr>
          <w:ilvl w:val="0"/>
          <w:numId w:val="11"/>
        </w:numPr>
        <w:spacing w:line="312" w:lineRule="auto"/>
        <w:ind w:left="420" w:hanging="420" w:hanging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针对本公司参与的____________项目，（项目编号：__________）    </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现郑重声明，我方完全符合中华人民共和国政府采购法第二十二条规定，即：</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（1）具有独立承担民事责任的能力；</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（2）具有良好的商业信誉和健全的财务会计制度；</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（3）具有履行合同所必需的设备和专业技术能力；</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（4）有依法缴纳税收和社会保障资金的良好记录；</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（5）参加政府采购活动前三年内，在经营活动中没有重大违法记录；</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（6）法律、行政法规规定的其他条件。</w:t>
      </w:r>
    </w:p>
    <w:p>
      <w:pPr>
        <w:numPr>
          <w:ilvl w:val="0"/>
          <w:numId w:val="11"/>
        </w:numPr>
        <w:spacing w:line="312" w:lineRule="auto"/>
        <w:rPr>
          <w:rFonts w:hint="eastAsia" w:ascii="宋体" w:hAnsi="宋体" w:eastAsia="宋体" w:cs="宋体"/>
          <w:bCs/>
          <w:color w:val="auto"/>
          <w:szCs w:val="21"/>
          <w:highlight w:val="none"/>
        </w:rPr>
      </w:pPr>
      <w:r>
        <w:rPr>
          <w:rFonts w:hint="eastAsia" w:ascii="宋体" w:hAnsi="宋体" w:eastAsia="宋体" w:cs="宋体"/>
          <w:bCs/>
          <w:color w:val="auto"/>
          <w:kern w:val="44"/>
          <w:szCs w:val="21"/>
          <w:highlight w:val="none"/>
        </w:rPr>
        <w:t>不存在与采购人存在利害关系可能影响招标公正性的法人、其他组织或者个人的情形。不存在单位负责人为同一人或者存在直接控股、管理关系的不同供应商，参加同一合同项下的采购活动的情形。</w:t>
      </w:r>
    </w:p>
    <w:p>
      <w:pPr>
        <w:numPr>
          <w:ilvl w:val="0"/>
          <w:numId w:val="11"/>
        </w:numPr>
        <w:spacing w:line="312" w:lineRule="auto"/>
        <w:ind w:left="420" w:hanging="420" w:hanging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不存在下列情形之一：</w:t>
      </w:r>
    </w:p>
    <w:p>
      <w:pPr>
        <w:spacing w:line="312" w:lineRule="auto"/>
        <w:ind w:left="-420" w:leftChars="-20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（1）与采购人存在利害关系且可能影响招标公正性；</w:t>
      </w:r>
    </w:p>
    <w:p>
      <w:pPr>
        <w:spacing w:line="312" w:lineRule="auto"/>
        <w:ind w:left="-420" w:leftChars="-20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（2）与本招标项目的其他投标人为同一个单位负责人；</w:t>
      </w:r>
    </w:p>
    <w:p>
      <w:pPr>
        <w:spacing w:line="312" w:lineRule="auto"/>
        <w:ind w:left="-420" w:leftChars="-20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（3）与本招标项目的其他投标人存在直接控股、管理关系；</w:t>
      </w:r>
    </w:p>
    <w:p>
      <w:pPr>
        <w:spacing w:line="312" w:lineRule="auto"/>
        <w:ind w:left="-420" w:leftChars="-20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（4）为本招标项目提供过设计、编制技术规范和其他文件的咨询服务；</w:t>
      </w:r>
    </w:p>
    <w:p>
      <w:pPr>
        <w:spacing w:line="312" w:lineRule="auto"/>
        <w:ind w:left="-420" w:leftChars="-20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（5）被依法暂停或者取消投标资格；</w:t>
      </w:r>
    </w:p>
    <w:p>
      <w:pPr>
        <w:spacing w:line="312" w:lineRule="auto"/>
        <w:ind w:left="-420" w:leftChars="-20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（6）被责令停产停业、暂扣或者吊销许可证、暂扣或者吊销执照；</w:t>
      </w:r>
    </w:p>
    <w:p>
      <w:pPr>
        <w:spacing w:line="312" w:lineRule="auto"/>
        <w:ind w:left="-420" w:leftChars="-20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（7）进入清算程序，或被宣告破产，或其他丧失履约能力的情形；</w:t>
      </w:r>
    </w:p>
    <w:p>
      <w:pPr>
        <w:spacing w:line="312" w:lineRule="auto"/>
        <w:ind w:left="-420" w:leftChars="-20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（8）在最近三年内发生重大产品质量问题（以相关行业主管部门的行政处罚决定或司法机关出具的有关法律文书为准）；</w:t>
      </w:r>
    </w:p>
    <w:p>
      <w:pPr>
        <w:spacing w:line="312" w:lineRule="auto"/>
        <w:ind w:left="-420" w:leftChars="-20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（9）法律法规或投标人须知前附表规定的其他情形。</w:t>
      </w:r>
    </w:p>
    <w:p>
      <w:pPr>
        <w:spacing w:line="312" w:lineRule="auto"/>
        <w:ind w:left="-420" w:leftChars="-20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本公司对上述声明的真实性负责。如有虚假，将依法承担相应责任。</w:t>
      </w:r>
    </w:p>
    <w:p>
      <w:pPr>
        <w:pStyle w:val="8"/>
        <w:spacing w:line="312" w:lineRule="auto"/>
        <w:rPr>
          <w:rFonts w:hint="eastAsia" w:ascii="宋体" w:hAnsi="宋体" w:eastAsia="宋体" w:cs="宋体"/>
          <w:color w:val="auto"/>
          <w:sz w:val="21"/>
          <w:szCs w:val="21"/>
          <w:highlight w:val="none"/>
        </w:rPr>
      </w:pPr>
    </w:p>
    <w:p>
      <w:pPr>
        <w:pStyle w:val="8"/>
        <w:spacing w:line="312" w:lineRule="auto"/>
        <w:jc w:val="right"/>
        <w:rPr>
          <w:rFonts w:hint="eastAsia" w:ascii="宋体" w:hAnsi="宋体" w:eastAsia="宋体" w:cs="宋体"/>
          <w:b w:val="0"/>
          <w:color w:val="auto"/>
          <w:sz w:val="21"/>
          <w:szCs w:val="21"/>
          <w:highlight w:val="none"/>
          <w:u w:val="single"/>
        </w:rPr>
      </w:pPr>
      <w:r>
        <w:rPr>
          <w:rFonts w:hint="eastAsia" w:ascii="宋体" w:hAnsi="宋体" w:eastAsia="宋体" w:cs="宋体"/>
          <w:b w:val="0"/>
          <w:color w:val="auto"/>
          <w:sz w:val="21"/>
          <w:szCs w:val="21"/>
          <w:highlight w:val="none"/>
        </w:rPr>
        <w:t>投标单位：</w:t>
      </w:r>
      <w:r>
        <w:rPr>
          <w:rFonts w:hint="eastAsia" w:ascii="宋体" w:hAnsi="宋体" w:eastAsia="宋体" w:cs="宋体"/>
          <w:b w:val="0"/>
          <w:color w:val="auto"/>
          <w:sz w:val="21"/>
          <w:szCs w:val="21"/>
          <w:highlight w:val="none"/>
          <w:u w:val="single"/>
        </w:rPr>
        <w:t xml:space="preserve">                        （盖公章）</w:t>
      </w:r>
    </w:p>
    <w:p>
      <w:pPr>
        <w:pStyle w:val="8"/>
        <w:spacing w:line="312" w:lineRule="auto"/>
        <w:jc w:val="right"/>
        <w:rPr>
          <w:rFonts w:hint="eastAsia" w:ascii="宋体" w:hAnsi="宋体" w:eastAsia="宋体" w:cs="宋体"/>
          <w:b w:val="0"/>
          <w:color w:val="auto"/>
          <w:sz w:val="21"/>
          <w:szCs w:val="21"/>
          <w:highlight w:val="none"/>
          <w:u w:val="single"/>
        </w:rPr>
      </w:pPr>
    </w:p>
    <w:p>
      <w:pPr>
        <w:pStyle w:val="8"/>
        <w:spacing w:line="312" w:lineRule="auto"/>
        <w:jc w:val="right"/>
        <w:rPr>
          <w:rFonts w:hint="eastAsia" w:ascii="宋体" w:hAnsi="宋体" w:eastAsia="宋体" w:cs="宋体"/>
          <w:b w:val="0"/>
          <w:color w:val="auto"/>
          <w:sz w:val="21"/>
          <w:szCs w:val="21"/>
          <w:highlight w:val="none"/>
          <w:u w:val="single"/>
        </w:rPr>
      </w:pPr>
    </w:p>
    <w:p>
      <w:pPr>
        <w:pStyle w:val="8"/>
        <w:spacing w:line="312" w:lineRule="auto"/>
        <w:jc w:val="righ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法定代表人（或委托代理人）：</w:t>
      </w:r>
      <w:r>
        <w:rPr>
          <w:rFonts w:hint="eastAsia" w:ascii="宋体" w:hAnsi="宋体" w:eastAsia="宋体" w:cs="宋体"/>
          <w:b w:val="0"/>
          <w:color w:val="auto"/>
          <w:sz w:val="21"/>
          <w:szCs w:val="21"/>
          <w:highlight w:val="none"/>
          <w:u w:val="single"/>
        </w:rPr>
        <w:t xml:space="preserve">                   （签字或盖章）</w:t>
      </w:r>
    </w:p>
    <w:p>
      <w:pPr>
        <w:pStyle w:val="8"/>
        <w:spacing w:line="312" w:lineRule="auto"/>
        <w:jc w:val="right"/>
        <w:rPr>
          <w:rFonts w:hint="eastAsia" w:ascii="宋体" w:hAnsi="宋体" w:eastAsia="宋体" w:cs="宋体"/>
          <w:b w:val="0"/>
          <w:color w:val="auto"/>
          <w:sz w:val="21"/>
          <w:szCs w:val="21"/>
          <w:highlight w:val="none"/>
        </w:rPr>
      </w:pPr>
    </w:p>
    <w:p>
      <w:pPr>
        <w:pStyle w:val="8"/>
        <w:spacing w:line="312" w:lineRule="auto"/>
        <w:jc w:val="right"/>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年   月   日</w:t>
      </w:r>
    </w:p>
    <w:p>
      <w:pPr>
        <w:pStyle w:val="8"/>
        <w:spacing w:line="312" w:lineRule="auto"/>
        <w:ind w:firstLine="0"/>
        <w:jc w:val="both"/>
        <w:rPr>
          <w:rFonts w:hint="eastAsia" w:ascii="宋体" w:hAnsi="宋体" w:eastAsia="宋体" w:cs="宋体"/>
          <w:b w:val="0"/>
          <w:color w:val="auto"/>
          <w:sz w:val="21"/>
          <w:szCs w:val="21"/>
          <w:highlight w:val="none"/>
        </w:rPr>
      </w:pPr>
    </w:p>
    <w:p>
      <w:pPr>
        <w:pStyle w:val="8"/>
        <w:spacing w:line="312" w:lineRule="auto"/>
        <w:ind w:firstLine="0"/>
        <w:jc w:val="both"/>
        <w:rPr>
          <w:rFonts w:hint="eastAsia" w:ascii="宋体" w:hAnsi="宋体" w:eastAsia="宋体" w:cs="宋体"/>
          <w:b w:val="0"/>
          <w:color w:val="auto"/>
          <w:sz w:val="21"/>
          <w:szCs w:val="21"/>
          <w:highlight w:val="none"/>
        </w:rPr>
      </w:pPr>
    </w:p>
    <w:p>
      <w:pPr>
        <w:pStyle w:val="8"/>
        <w:spacing w:line="312" w:lineRule="auto"/>
        <w:ind w:firstLine="0"/>
        <w:jc w:val="both"/>
        <w:rPr>
          <w:rFonts w:hint="eastAsia" w:ascii="宋体" w:hAnsi="宋体" w:eastAsia="宋体" w:cs="宋体"/>
          <w:b w:val="0"/>
          <w:color w:val="auto"/>
          <w:sz w:val="21"/>
          <w:szCs w:val="21"/>
          <w:highlight w:val="none"/>
        </w:rPr>
      </w:pPr>
    </w:p>
    <w:p>
      <w:pPr>
        <w:spacing w:line="312" w:lineRule="auto"/>
        <w:jc w:val="left"/>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b/>
          <w:color w:val="auto"/>
          <w:sz w:val="31"/>
          <w:highlight w:val="none"/>
        </w:rPr>
        <w:br w:type="page"/>
      </w:r>
      <w:r>
        <w:rPr>
          <w:rFonts w:hint="eastAsia" w:ascii="宋体" w:hAnsi="宋体" w:eastAsia="宋体" w:cs="宋体"/>
          <w:b/>
          <w:color w:val="auto"/>
          <w:sz w:val="31"/>
          <w:highlight w:val="none"/>
        </w:rPr>
        <w:t>八、其他资料</w:t>
      </w:r>
    </w:p>
    <w:p>
      <w:pPr>
        <w:spacing w:line="312" w:lineRule="auto"/>
        <w:jc w:val="left"/>
        <w:rPr>
          <w:rFonts w:hint="eastAsia" w:ascii="宋体" w:hAnsi="宋体" w:eastAsia="宋体" w:cs="宋体"/>
          <w:color w:val="auto"/>
          <w:sz w:val="24"/>
          <w:highlight w:val="none"/>
        </w:rPr>
        <w:sectPr>
          <w:pgSz w:w="12240" w:h="15840"/>
          <w:pgMar w:top="1440" w:right="1360" w:bottom="667" w:left="1440" w:header="720" w:footer="720" w:gutter="0"/>
          <w:cols w:space="720" w:num="1"/>
        </w:sectPr>
      </w:pPr>
    </w:p>
    <w:p>
      <w:pPr>
        <w:spacing w:before="156" w:beforeLines="50" w:after="156" w:afterLines="50" w:line="312" w:lineRule="auto"/>
        <w:ind w:firstLine="420" w:firstLineChars="200"/>
        <w:rPr>
          <w:rFonts w:hint="eastAsia" w:ascii="宋体" w:hAnsi="宋体" w:eastAsia="宋体" w:cs="宋体"/>
          <w:color w:val="auto"/>
          <w:szCs w:val="21"/>
          <w:highlight w:val="none"/>
        </w:rPr>
      </w:pPr>
    </w:p>
    <w:p>
      <w:pPr>
        <w:numPr>
          <w:ilvl w:val="0"/>
          <w:numId w:val="12"/>
        </w:numPr>
        <w:spacing w:before="156" w:beforeLines="50" w:after="156" w:afterLines="50"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产品技术</w:t>
      </w:r>
    </w:p>
    <w:p>
      <w:pPr>
        <w:numPr>
          <w:ilvl w:val="0"/>
          <w:numId w:val="12"/>
        </w:numPr>
        <w:spacing w:before="156" w:beforeLines="50" w:after="156" w:afterLines="50"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项目实施服务方案</w:t>
      </w:r>
    </w:p>
    <w:p>
      <w:pPr>
        <w:numPr>
          <w:ilvl w:val="0"/>
          <w:numId w:val="12"/>
        </w:numPr>
        <w:spacing w:before="156" w:beforeLines="50" w:after="156" w:afterLines="50"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厂家售后</w:t>
      </w:r>
    </w:p>
    <w:p>
      <w:pPr>
        <w:numPr>
          <w:ilvl w:val="0"/>
          <w:numId w:val="12"/>
        </w:numPr>
        <w:spacing w:before="156" w:beforeLines="50" w:after="156" w:afterLines="50"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其他资料（投标人根据对项目的理解还需提供用于评标委员会评分的其他佐证材料（格式无固定要求），请自行设计在投标文件中。</w:t>
      </w:r>
    </w:p>
    <w:p>
      <w:pPr>
        <w:numPr>
          <w:ilvl w:val="0"/>
          <w:numId w:val="12"/>
        </w:numPr>
        <w:spacing w:before="156" w:beforeLines="50" w:after="156" w:afterLines="50" w:line="312" w:lineRule="auto"/>
        <w:ind w:firstLine="480" w:firstLineChars="200"/>
        <w:jc w:val="left"/>
        <w:rPr>
          <w:rFonts w:hint="eastAsia" w:ascii="宋体" w:hAnsi="宋体" w:eastAsia="宋体" w:cs="宋体"/>
          <w:color w:val="auto"/>
          <w:sz w:val="24"/>
          <w:szCs w:val="24"/>
          <w:highlight w:val="none"/>
        </w:rPr>
      </w:pPr>
      <w:bookmarkStart w:id="46" w:name="_Toc18935"/>
      <w:r>
        <w:rPr>
          <w:rFonts w:hint="eastAsia" w:ascii="宋体" w:hAnsi="宋体" w:eastAsia="宋体" w:cs="宋体"/>
          <w:color w:val="auto"/>
          <w:sz w:val="24"/>
          <w:szCs w:val="24"/>
          <w:highlight w:val="none"/>
        </w:rPr>
        <w:t>评审索引</w:t>
      </w:r>
      <w:bookmarkEnd w:id="46"/>
    </w:p>
    <w:p>
      <w:pPr>
        <w:spacing w:before="156" w:beforeLines="50" w:after="156" w:afterLines="50"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关于招标文件 “第三章 评审方法” 《资格审查表》、《符合性审查表》、《详细评审表》的评审索引，建议标注清楚投标文件内相关评审因素、评审标准的对应页码。</w:t>
      </w:r>
    </w:p>
    <w:p>
      <w:pPr>
        <w:jc w:val="left"/>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jc w:val="left"/>
        <w:rPr>
          <w:rFonts w:hint="eastAsia" w:ascii="宋体" w:hAnsi="宋体" w:eastAsia="宋体" w:cs="宋体"/>
          <w:color w:val="auto"/>
          <w:sz w:val="28"/>
          <w:szCs w:val="28"/>
          <w:highlight w:val="none"/>
        </w:rPr>
      </w:pPr>
    </w:p>
    <w:sectPr>
      <w:headerReference r:id="rId11" w:type="default"/>
      <w:footerReference r:id="rId12" w:type="default"/>
      <w:type w:val="continuous"/>
      <w:pgSz w:w="12240" w:h="15840"/>
      <w:pgMar w:top="1440" w:right="1325" w:bottom="667"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Fv80DICAABkBAAADgAAAAAAAAABACAAAAAfAQAAZHJzL2Uyb0RvYy54bWxQSwUG&#10;AAAAAAYABgBZAQAAww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lef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lef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953D4"/>
    <w:multiLevelType w:val="singleLevel"/>
    <w:tmpl w:val="812953D4"/>
    <w:lvl w:ilvl="0" w:tentative="0">
      <w:start w:val="5"/>
      <w:numFmt w:val="chineseCounting"/>
      <w:suff w:val="space"/>
      <w:lvlText w:val="第%1章"/>
      <w:lvlJc w:val="left"/>
      <w:rPr>
        <w:rFonts w:hint="eastAsia"/>
      </w:rPr>
    </w:lvl>
  </w:abstractNum>
  <w:abstractNum w:abstractNumId="1">
    <w:nsid w:val="8B325C11"/>
    <w:multiLevelType w:val="singleLevel"/>
    <w:tmpl w:val="8B325C11"/>
    <w:lvl w:ilvl="0" w:tentative="0">
      <w:start w:val="3"/>
      <w:numFmt w:val="chineseCounting"/>
      <w:suff w:val="space"/>
      <w:lvlText w:val="第%1章"/>
      <w:lvlJc w:val="left"/>
      <w:rPr>
        <w:rFonts w:hint="eastAsia"/>
      </w:rPr>
    </w:lvl>
  </w:abstractNum>
  <w:abstractNum w:abstractNumId="2">
    <w:nsid w:val="91A42EE5"/>
    <w:multiLevelType w:val="singleLevel"/>
    <w:tmpl w:val="91A42EE5"/>
    <w:lvl w:ilvl="0" w:tentative="0">
      <w:start w:val="1"/>
      <w:numFmt w:val="chineseCounting"/>
      <w:suff w:val="nothing"/>
      <w:lvlText w:val="（%1）"/>
      <w:lvlJc w:val="left"/>
      <w:rPr>
        <w:rFonts w:hint="eastAsia"/>
      </w:rPr>
    </w:lvl>
  </w:abstractNum>
  <w:abstractNum w:abstractNumId="3">
    <w:nsid w:val="E314D13E"/>
    <w:multiLevelType w:val="singleLevel"/>
    <w:tmpl w:val="E314D13E"/>
    <w:lvl w:ilvl="0" w:tentative="0">
      <w:start w:val="3"/>
      <w:numFmt w:val="chineseCounting"/>
      <w:suff w:val="nothing"/>
      <w:lvlText w:val="%1、"/>
      <w:lvlJc w:val="left"/>
      <w:rPr>
        <w:rFonts w:hint="eastAsia"/>
      </w:rPr>
    </w:lvl>
  </w:abstractNum>
  <w:abstractNum w:abstractNumId="4">
    <w:nsid w:val="F09CE4FC"/>
    <w:multiLevelType w:val="singleLevel"/>
    <w:tmpl w:val="F09CE4FC"/>
    <w:lvl w:ilvl="0" w:tentative="0">
      <w:start w:val="1"/>
      <w:numFmt w:val="chineseCounting"/>
      <w:suff w:val="nothing"/>
      <w:lvlText w:val="%1、"/>
      <w:lvlJc w:val="left"/>
      <w:rPr>
        <w:rFonts w:hint="eastAsia"/>
      </w:rPr>
    </w:lvl>
  </w:abstractNum>
  <w:abstractNum w:abstractNumId="5">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C3C661E"/>
    <w:multiLevelType w:val="singleLevel"/>
    <w:tmpl w:val="0C3C661E"/>
    <w:lvl w:ilvl="0" w:tentative="0">
      <w:start w:val="5"/>
      <w:numFmt w:val="chineseCounting"/>
      <w:suff w:val="nothing"/>
      <w:lvlText w:val="%1、"/>
      <w:lvlJc w:val="left"/>
      <w:rPr>
        <w:rFonts w:hint="eastAsia"/>
      </w:rPr>
    </w:lvl>
  </w:abstractNum>
  <w:abstractNum w:abstractNumId="7">
    <w:nsid w:val="0CFCB1D0"/>
    <w:multiLevelType w:val="singleLevel"/>
    <w:tmpl w:val="0CFCB1D0"/>
    <w:lvl w:ilvl="0" w:tentative="0">
      <w:start w:val="1"/>
      <w:numFmt w:val="decimal"/>
      <w:lvlText w:val="%1."/>
      <w:lvlJc w:val="left"/>
      <w:pPr>
        <w:tabs>
          <w:tab w:val="left" w:pos="312"/>
        </w:tabs>
      </w:pPr>
    </w:lvl>
  </w:abstractNum>
  <w:abstractNum w:abstractNumId="8">
    <w:nsid w:val="59DB3561"/>
    <w:multiLevelType w:val="singleLevel"/>
    <w:tmpl w:val="59DB3561"/>
    <w:lvl w:ilvl="0" w:tentative="0">
      <w:start w:val="1"/>
      <w:numFmt w:val="chineseCounting"/>
      <w:suff w:val="nothing"/>
      <w:lvlText w:val="（%1）"/>
      <w:lvlJc w:val="left"/>
    </w:lvl>
  </w:abstractNum>
  <w:abstractNum w:abstractNumId="9">
    <w:nsid w:val="5A24F936"/>
    <w:multiLevelType w:val="singleLevel"/>
    <w:tmpl w:val="5A24F936"/>
    <w:lvl w:ilvl="0" w:tentative="0">
      <w:start w:val="2"/>
      <w:numFmt w:val="decimal"/>
      <w:suff w:val="nothing"/>
      <w:lvlText w:val="（%1）"/>
      <w:lvlJc w:val="left"/>
    </w:lvl>
  </w:abstractNum>
  <w:abstractNum w:abstractNumId="10">
    <w:nsid w:val="687B3C8E"/>
    <w:multiLevelType w:val="singleLevel"/>
    <w:tmpl w:val="687B3C8E"/>
    <w:lvl w:ilvl="0" w:tentative="0">
      <w:start w:val="1"/>
      <w:numFmt w:val="decimal"/>
      <w:suff w:val="space"/>
      <w:lvlText w:val="%1."/>
      <w:lvlJc w:val="left"/>
    </w:lvl>
  </w:abstractNum>
  <w:abstractNum w:abstractNumId="11">
    <w:nsid w:val="7FA8F13B"/>
    <w:multiLevelType w:val="singleLevel"/>
    <w:tmpl w:val="7FA8F13B"/>
    <w:lvl w:ilvl="0" w:tentative="0">
      <w:start w:val="1"/>
      <w:numFmt w:val="decimal"/>
      <w:suff w:val="nothing"/>
      <w:lvlText w:val="（%1）"/>
      <w:lvlJc w:val="left"/>
    </w:lvl>
  </w:abstractNum>
  <w:num w:numId="1">
    <w:abstractNumId w:val="4"/>
  </w:num>
  <w:num w:numId="2">
    <w:abstractNumId w:val="6"/>
  </w:num>
  <w:num w:numId="3">
    <w:abstractNumId w:val="9"/>
  </w:num>
  <w:num w:numId="4">
    <w:abstractNumId w:val="1"/>
  </w:num>
  <w:num w:numId="5">
    <w:abstractNumId w:val="7"/>
  </w:num>
  <w:num w:numId="6">
    <w:abstractNumId w:val="11"/>
  </w:num>
  <w:num w:numId="7">
    <w:abstractNumId w:val="0"/>
  </w:num>
  <w:num w:numId="8">
    <w:abstractNumId w:val="3"/>
  </w:num>
  <w:num w:numId="9">
    <w:abstractNumId w:val="5"/>
    <w:lvlOverride w:ilvl="0">
      <w:startOverride w:val="1"/>
    </w:lvlOverride>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documentProtection w:enforcement="0"/>
  <w:defaultTabStop w:val="720"/>
  <w:drawingGridHorizontalSpacing w:val="105"/>
  <w:drawingGridVerticalSpacing w:val="120"/>
  <w:doNotShadeFormData w:val="1"/>
  <w:noPunctuationKerning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2MzVhM2RkNGFiYjY5ZWJiNGNjZjdiZmFhYjM1YmYifQ=="/>
  </w:docVars>
  <w:rsids>
    <w:rsidRoot w:val="00172A27"/>
    <w:rsid w:val="00005BF4"/>
    <w:rsid w:val="000068DF"/>
    <w:rsid w:val="0001189E"/>
    <w:rsid w:val="000143C6"/>
    <w:rsid w:val="00016541"/>
    <w:rsid w:val="000231FB"/>
    <w:rsid w:val="00035844"/>
    <w:rsid w:val="000367F6"/>
    <w:rsid w:val="00040AE8"/>
    <w:rsid w:val="00041269"/>
    <w:rsid w:val="000445B0"/>
    <w:rsid w:val="00044E81"/>
    <w:rsid w:val="00046759"/>
    <w:rsid w:val="00047DD5"/>
    <w:rsid w:val="0006573E"/>
    <w:rsid w:val="00066CD0"/>
    <w:rsid w:val="00070215"/>
    <w:rsid w:val="00075AB8"/>
    <w:rsid w:val="00080DE8"/>
    <w:rsid w:val="00096545"/>
    <w:rsid w:val="000A0C12"/>
    <w:rsid w:val="000A4781"/>
    <w:rsid w:val="000B6B97"/>
    <w:rsid w:val="000B6D55"/>
    <w:rsid w:val="000C2A22"/>
    <w:rsid w:val="000C667C"/>
    <w:rsid w:val="000E0F49"/>
    <w:rsid w:val="000E5164"/>
    <w:rsid w:val="000F179F"/>
    <w:rsid w:val="000F699A"/>
    <w:rsid w:val="000F73B6"/>
    <w:rsid w:val="001028A7"/>
    <w:rsid w:val="001036DD"/>
    <w:rsid w:val="001048B9"/>
    <w:rsid w:val="00114D62"/>
    <w:rsid w:val="00115F04"/>
    <w:rsid w:val="00120E8D"/>
    <w:rsid w:val="0012136C"/>
    <w:rsid w:val="00127872"/>
    <w:rsid w:val="001317B0"/>
    <w:rsid w:val="00142AD7"/>
    <w:rsid w:val="00145DE2"/>
    <w:rsid w:val="00154374"/>
    <w:rsid w:val="00160CA8"/>
    <w:rsid w:val="00172A27"/>
    <w:rsid w:val="0018613E"/>
    <w:rsid w:val="00190D9E"/>
    <w:rsid w:val="0019105F"/>
    <w:rsid w:val="00193D0F"/>
    <w:rsid w:val="001944E2"/>
    <w:rsid w:val="00195018"/>
    <w:rsid w:val="001B25B5"/>
    <w:rsid w:val="001C148F"/>
    <w:rsid w:val="001C5719"/>
    <w:rsid w:val="001D25F9"/>
    <w:rsid w:val="001E39B4"/>
    <w:rsid w:val="001E5237"/>
    <w:rsid w:val="001E53CA"/>
    <w:rsid w:val="001F155C"/>
    <w:rsid w:val="001F2009"/>
    <w:rsid w:val="0021478E"/>
    <w:rsid w:val="002147A7"/>
    <w:rsid w:val="00215760"/>
    <w:rsid w:val="00216768"/>
    <w:rsid w:val="002174C1"/>
    <w:rsid w:val="00224F65"/>
    <w:rsid w:val="00231480"/>
    <w:rsid w:val="002320C1"/>
    <w:rsid w:val="00233E87"/>
    <w:rsid w:val="00236041"/>
    <w:rsid w:val="002440A7"/>
    <w:rsid w:val="002503C3"/>
    <w:rsid w:val="00251484"/>
    <w:rsid w:val="0025563E"/>
    <w:rsid w:val="00265BFC"/>
    <w:rsid w:val="00267723"/>
    <w:rsid w:val="00274F1D"/>
    <w:rsid w:val="002768BB"/>
    <w:rsid w:val="002808D5"/>
    <w:rsid w:val="00281A6C"/>
    <w:rsid w:val="00282159"/>
    <w:rsid w:val="00291E66"/>
    <w:rsid w:val="002A5B4E"/>
    <w:rsid w:val="002A7455"/>
    <w:rsid w:val="002A771C"/>
    <w:rsid w:val="002B05E2"/>
    <w:rsid w:val="002B41A9"/>
    <w:rsid w:val="002B4483"/>
    <w:rsid w:val="002B6231"/>
    <w:rsid w:val="002B693F"/>
    <w:rsid w:val="002B7F78"/>
    <w:rsid w:val="002C1064"/>
    <w:rsid w:val="002C35FC"/>
    <w:rsid w:val="002C68FE"/>
    <w:rsid w:val="002C6BB9"/>
    <w:rsid w:val="002D2585"/>
    <w:rsid w:val="002E11FF"/>
    <w:rsid w:val="002E29B7"/>
    <w:rsid w:val="002E3EE2"/>
    <w:rsid w:val="002E7464"/>
    <w:rsid w:val="002F17B3"/>
    <w:rsid w:val="002F6359"/>
    <w:rsid w:val="002F6397"/>
    <w:rsid w:val="002F70B4"/>
    <w:rsid w:val="003068A4"/>
    <w:rsid w:val="00306DD0"/>
    <w:rsid w:val="00313039"/>
    <w:rsid w:val="00315D4A"/>
    <w:rsid w:val="003214BD"/>
    <w:rsid w:val="00330910"/>
    <w:rsid w:val="003523EF"/>
    <w:rsid w:val="00353071"/>
    <w:rsid w:val="00353226"/>
    <w:rsid w:val="00353D8D"/>
    <w:rsid w:val="003557B0"/>
    <w:rsid w:val="00372EC4"/>
    <w:rsid w:val="00380652"/>
    <w:rsid w:val="00384234"/>
    <w:rsid w:val="003872E8"/>
    <w:rsid w:val="003A753B"/>
    <w:rsid w:val="003A7B10"/>
    <w:rsid w:val="003B0226"/>
    <w:rsid w:val="003B2B0A"/>
    <w:rsid w:val="003B79FC"/>
    <w:rsid w:val="003B7EC7"/>
    <w:rsid w:val="003C0A83"/>
    <w:rsid w:val="003D77A7"/>
    <w:rsid w:val="003E273F"/>
    <w:rsid w:val="003E6111"/>
    <w:rsid w:val="003F2B40"/>
    <w:rsid w:val="003F33F3"/>
    <w:rsid w:val="003F536B"/>
    <w:rsid w:val="003F54D6"/>
    <w:rsid w:val="00405AB2"/>
    <w:rsid w:val="004062BE"/>
    <w:rsid w:val="004159DF"/>
    <w:rsid w:val="00420AA4"/>
    <w:rsid w:val="004249E6"/>
    <w:rsid w:val="00431466"/>
    <w:rsid w:val="00442B8C"/>
    <w:rsid w:val="0045283B"/>
    <w:rsid w:val="00453E2B"/>
    <w:rsid w:val="00456444"/>
    <w:rsid w:val="00457655"/>
    <w:rsid w:val="0046388A"/>
    <w:rsid w:val="004642B1"/>
    <w:rsid w:val="004775DA"/>
    <w:rsid w:val="0048061D"/>
    <w:rsid w:val="00482245"/>
    <w:rsid w:val="00482273"/>
    <w:rsid w:val="00484E0B"/>
    <w:rsid w:val="0049144E"/>
    <w:rsid w:val="00495CD6"/>
    <w:rsid w:val="004A2768"/>
    <w:rsid w:val="004B192F"/>
    <w:rsid w:val="004B229F"/>
    <w:rsid w:val="004B4FC0"/>
    <w:rsid w:val="004B7A69"/>
    <w:rsid w:val="004C058A"/>
    <w:rsid w:val="004C52C1"/>
    <w:rsid w:val="004C5748"/>
    <w:rsid w:val="004D52DF"/>
    <w:rsid w:val="004D6A71"/>
    <w:rsid w:val="004D6F48"/>
    <w:rsid w:val="004D721B"/>
    <w:rsid w:val="004E0C6C"/>
    <w:rsid w:val="004E25E4"/>
    <w:rsid w:val="004E3D23"/>
    <w:rsid w:val="004F7533"/>
    <w:rsid w:val="005017FE"/>
    <w:rsid w:val="005066D1"/>
    <w:rsid w:val="005147E2"/>
    <w:rsid w:val="0051601E"/>
    <w:rsid w:val="00520763"/>
    <w:rsid w:val="005359E0"/>
    <w:rsid w:val="00536116"/>
    <w:rsid w:val="005501B1"/>
    <w:rsid w:val="00554BA5"/>
    <w:rsid w:val="00555575"/>
    <w:rsid w:val="005559A0"/>
    <w:rsid w:val="005634EB"/>
    <w:rsid w:val="005655AD"/>
    <w:rsid w:val="005733FD"/>
    <w:rsid w:val="00577829"/>
    <w:rsid w:val="005920FF"/>
    <w:rsid w:val="0059382C"/>
    <w:rsid w:val="00597F77"/>
    <w:rsid w:val="005A0180"/>
    <w:rsid w:val="005A4F51"/>
    <w:rsid w:val="005B5BFF"/>
    <w:rsid w:val="005B78D4"/>
    <w:rsid w:val="005C0D59"/>
    <w:rsid w:val="005E2506"/>
    <w:rsid w:val="005F0F5B"/>
    <w:rsid w:val="005F2BDA"/>
    <w:rsid w:val="005F464F"/>
    <w:rsid w:val="005F75F2"/>
    <w:rsid w:val="00600CC1"/>
    <w:rsid w:val="00601DF9"/>
    <w:rsid w:val="006112F8"/>
    <w:rsid w:val="00611E08"/>
    <w:rsid w:val="006129CC"/>
    <w:rsid w:val="0061303C"/>
    <w:rsid w:val="00615D1E"/>
    <w:rsid w:val="00620FD6"/>
    <w:rsid w:val="00621B36"/>
    <w:rsid w:val="00624CBA"/>
    <w:rsid w:val="0062717C"/>
    <w:rsid w:val="0063617A"/>
    <w:rsid w:val="0064721D"/>
    <w:rsid w:val="00654F45"/>
    <w:rsid w:val="00656DA1"/>
    <w:rsid w:val="00657A4F"/>
    <w:rsid w:val="00666DF0"/>
    <w:rsid w:val="00666E19"/>
    <w:rsid w:val="006679AF"/>
    <w:rsid w:val="00672A19"/>
    <w:rsid w:val="00674A7A"/>
    <w:rsid w:val="00676EC3"/>
    <w:rsid w:val="006808B3"/>
    <w:rsid w:val="00683CE6"/>
    <w:rsid w:val="00693EEB"/>
    <w:rsid w:val="00696966"/>
    <w:rsid w:val="006969FD"/>
    <w:rsid w:val="00696E4D"/>
    <w:rsid w:val="006A4FD7"/>
    <w:rsid w:val="006A7829"/>
    <w:rsid w:val="006B4CB3"/>
    <w:rsid w:val="006C51B7"/>
    <w:rsid w:val="006C6AD3"/>
    <w:rsid w:val="006C74AF"/>
    <w:rsid w:val="006D0340"/>
    <w:rsid w:val="006D48D1"/>
    <w:rsid w:val="006D4BFA"/>
    <w:rsid w:val="006E3409"/>
    <w:rsid w:val="006E3FE8"/>
    <w:rsid w:val="006E489E"/>
    <w:rsid w:val="006E6D67"/>
    <w:rsid w:val="006E7315"/>
    <w:rsid w:val="006F32F8"/>
    <w:rsid w:val="00700AA0"/>
    <w:rsid w:val="0070773D"/>
    <w:rsid w:val="00713DDA"/>
    <w:rsid w:val="0071424D"/>
    <w:rsid w:val="00716A4A"/>
    <w:rsid w:val="00717542"/>
    <w:rsid w:val="00721A7F"/>
    <w:rsid w:val="00721B3C"/>
    <w:rsid w:val="0072404D"/>
    <w:rsid w:val="00724D5B"/>
    <w:rsid w:val="00726727"/>
    <w:rsid w:val="00727484"/>
    <w:rsid w:val="0073170F"/>
    <w:rsid w:val="007322D5"/>
    <w:rsid w:val="0073583D"/>
    <w:rsid w:val="00742493"/>
    <w:rsid w:val="00746B62"/>
    <w:rsid w:val="00752539"/>
    <w:rsid w:val="0075599C"/>
    <w:rsid w:val="007630CB"/>
    <w:rsid w:val="00765ADB"/>
    <w:rsid w:val="00766F62"/>
    <w:rsid w:val="007724A2"/>
    <w:rsid w:val="00790DE1"/>
    <w:rsid w:val="00791FCE"/>
    <w:rsid w:val="00794F7F"/>
    <w:rsid w:val="00796C30"/>
    <w:rsid w:val="007A627E"/>
    <w:rsid w:val="007A66F8"/>
    <w:rsid w:val="007A6F81"/>
    <w:rsid w:val="007B0FF3"/>
    <w:rsid w:val="007B15F5"/>
    <w:rsid w:val="007D0B2F"/>
    <w:rsid w:val="007D5300"/>
    <w:rsid w:val="007E0C25"/>
    <w:rsid w:val="007E0CC3"/>
    <w:rsid w:val="007E1314"/>
    <w:rsid w:val="007E22B3"/>
    <w:rsid w:val="007E7A4C"/>
    <w:rsid w:val="007F0F3B"/>
    <w:rsid w:val="007F1FC0"/>
    <w:rsid w:val="007F3650"/>
    <w:rsid w:val="00810A1B"/>
    <w:rsid w:val="00815159"/>
    <w:rsid w:val="00821973"/>
    <w:rsid w:val="00831D0F"/>
    <w:rsid w:val="008331B1"/>
    <w:rsid w:val="00834C5F"/>
    <w:rsid w:val="00836ECF"/>
    <w:rsid w:val="00840D46"/>
    <w:rsid w:val="0086088B"/>
    <w:rsid w:val="00864652"/>
    <w:rsid w:val="00866714"/>
    <w:rsid w:val="00873063"/>
    <w:rsid w:val="008813E6"/>
    <w:rsid w:val="00881DBE"/>
    <w:rsid w:val="00882188"/>
    <w:rsid w:val="00882F88"/>
    <w:rsid w:val="008859F0"/>
    <w:rsid w:val="00886B14"/>
    <w:rsid w:val="008922EA"/>
    <w:rsid w:val="008A7971"/>
    <w:rsid w:val="008B2998"/>
    <w:rsid w:val="008B3E69"/>
    <w:rsid w:val="008B3FB5"/>
    <w:rsid w:val="008B4FE9"/>
    <w:rsid w:val="008D03B8"/>
    <w:rsid w:val="008D3371"/>
    <w:rsid w:val="008D6B96"/>
    <w:rsid w:val="008E0DA9"/>
    <w:rsid w:val="008E1A22"/>
    <w:rsid w:val="008E4EB5"/>
    <w:rsid w:val="008E7BBA"/>
    <w:rsid w:val="008F005E"/>
    <w:rsid w:val="008F369F"/>
    <w:rsid w:val="008F6A22"/>
    <w:rsid w:val="00900435"/>
    <w:rsid w:val="00902BBB"/>
    <w:rsid w:val="00902CAF"/>
    <w:rsid w:val="00905D24"/>
    <w:rsid w:val="0091186D"/>
    <w:rsid w:val="00913051"/>
    <w:rsid w:val="0092278F"/>
    <w:rsid w:val="00922AE8"/>
    <w:rsid w:val="00923722"/>
    <w:rsid w:val="00923F23"/>
    <w:rsid w:val="00925596"/>
    <w:rsid w:val="00925EAF"/>
    <w:rsid w:val="00932668"/>
    <w:rsid w:val="00934F86"/>
    <w:rsid w:val="00937CCC"/>
    <w:rsid w:val="009421DF"/>
    <w:rsid w:val="00962543"/>
    <w:rsid w:val="00966A97"/>
    <w:rsid w:val="009706A0"/>
    <w:rsid w:val="00971AD8"/>
    <w:rsid w:val="00972EC6"/>
    <w:rsid w:val="00973A8C"/>
    <w:rsid w:val="009753B7"/>
    <w:rsid w:val="00976142"/>
    <w:rsid w:val="00977E6E"/>
    <w:rsid w:val="0098007D"/>
    <w:rsid w:val="00985B8B"/>
    <w:rsid w:val="00997CE4"/>
    <w:rsid w:val="009A12F3"/>
    <w:rsid w:val="009A240D"/>
    <w:rsid w:val="009A318C"/>
    <w:rsid w:val="009A41C6"/>
    <w:rsid w:val="009A73AA"/>
    <w:rsid w:val="009B7AF2"/>
    <w:rsid w:val="009D21BA"/>
    <w:rsid w:val="009D5EB7"/>
    <w:rsid w:val="009E2A89"/>
    <w:rsid w:val="009F3C30"/>
    <w:rsid w:val="009F4AE5"/>
    <w:rsid w:val="009F6512"/>
    <w:rsid w:val="00A05DB0"/>
    <w:rsid w:val="00A0720A"/>
    <w:rsid w:val="00A12921"/>
    <w:rsid w:val="00A142E7"/>
    <w:rsid w:val="00A14EDD"/>
    <w:rsid w:val="00A17DD0"/>
    <w:rsid w:val="00A20739"/>
    <w:rsid w:val="00A26DF6"/>
    <w:rsid w:val="00A2749A"/>
    <w:rsid w:val="00A27569"/>
    <w:rsid w:val="00A418C1"/>
    <w:rsid w:val="00A41A60"/>
    <w:rsid w:val="00A43B62"/>
    <w:rsid w:val="00A44AB6"/>
    <w:rsid w:val="00A44ED0"/>
    <w:rsid w:val="00A55D55"/>
    <w:rsid w:val="00A57DCE"/>
    <w:rsid w:val="00A608EA"/>
    <w:rsid w:val="00A619D8"/>
    <w:rsid w:val="00A6689C"/>
    <w:rsid w:val="00A737A1"/>
    <w:rsid w:val="00A74011"/>
    <w:rsid w:val="00A815B8"/>
    <w:rsid w:val="00A83500"/>
    <w:rsid w:val="00A86AF7"/>
    <w:rsid w:val="00A968FB"/>
    <w:rsid w:val="00A96D33"/>
    <w:rsid w:val="00AA30A8"/>
    <w:rsid w:val="00AA6951"/>
    <w:rsid w:val="00AA74B6"/>
    <w:rsid w:val="00AB2F21"/>
    <w:rsid w:val="00AC5DB5"/>
    <w:rsid w:val="00AD4E86"/>
    <w:rsid w:val="00AE0C23"/>
    <w:rsid w:val="00AE445D"/>
    <w:rsid w:val="00B060EB"/>
    <w:rsid w:val="00B10021"/>
    <w:rsid w:val="00B11258"/>
    <w:rsid w:val="00B12181"/>
    <w:rsid w:val="00B12B77"/>
    <w:rsid w:val="00B14731"/>
    <w:rsid w:val="00B155C2"/>
    <w:rsid w:val="00B233F8"/>
    <w:rsid w:val="00B27FFB"/>
    <w:rsid w:val="00B336EF"/>
    <w:rsid w:val="00B338EC"/>
    <w:rsid w:val="00B35A07"/>
    <w:rsid w:val="00B37DA9"/>
    <w:rsid w:val="00B37EBF"/>
    <w:rsid w:val="00B50742"/>
    <w:rsid w:val="00B50FD5"/>
    <w:rsid w:val="00B52FFF"/>
    <w:rsid w:val="00B53BF0"/>
    <w:rsid w:val="00B55E13"/>
    <w:rsid w:val="00B57F9C"/>
    <w:rsid w:val="00B677CD"/>
    <w:rsid w:val="00B67C1E"/>
    <w:rsid w:val="00B70348"/>
    <w:rsid w:val="00B751DE"/>
    <w:rsid w:val="00B81FDF"/>
    <w:rsid w:val="00B91C2B"/>
    <w:rsid w:val="00BA0F27"/>
    <w:rsid w:val="00BA1180"/>
    <w:rsid w:val="00BA1524"/>
    <w:rsid w:val="00BA7733"/>
    <w:rsid w:val="00BB49D4"/>
    <w:rsid w:val="00BB6365"/>
    <w:rsid w:val="00BB72C4"/>
    <w:rsid w:val="00BC08AD"/>
    <w:rsid w:val="00BD1E22"/>
    <w:rsid w:val="00BD45F1"/>
    <w:rsid w:val="00BD6A5F"/>
    <w:rsid w:val="00BD75B5"/>
    <w:rsid w:val="00BF517C"/>
    <w:rsid w:val="00C0176B"/>
    <w:rsid w:val="00C0432A"/>
    <w:rsid w:val="00C04E0B"/>
    <w:rsid w:val="00C056B5"/>
    <w:rsid w:val="00C07B40"/>
    <w:rsid w:val="00C07CC4"/>
    <w:rsid w:val="00C10B63"/>
    <w:rsid w:val="00C16140"/>
    <w:rsid w:val="00C166C6"/>
    <w:rsid w:val="00C26CBC"/>
    <w:rsid w:val="00C446A7"/>
    <w:rsid w:val="00C47FFB"/>
    <w:rsid w:val="00C512BF"/>
    <w:rsid w:val="00C53F2F"/>
    <w:rsid w:val="00C60155"/>
    <w:rsid w:val="00C60A24"/>
    <w:rsid w:val="00C645E6"/>
    <w:rsid w:val="00C66C0A"/>
    <w:rsid w:val="00C745D7"/>
    <w:rsid w:val="00C74BC0"/>
    <w:rsid w:val="00C75114"/>
    <w:rsid w:val="00C75240"/>
    <w:rsid w:val="00C769E3"/>
    <w:rsid w:val="00C82861"/>
    <w:rsid w:val="00C93624"/>
    <w:rsid w:val="00C94270"/>
    <w:rsid w:val="00C94435"/>
    <w:rsid w:val="00C97408"/>
    <w:rsid w:val="00C97F91"/>
    <w:rsid w:val="00CB58DB"/>
    <w:rsid w:val="00CC0E4A"/>
    <w:rsid w:val="00CC5293"/>
    <w:rsid w:val="00CD131C"/>
    <w:rsid w:val="00CD1B05"/>
    <w:rsid w:val="00CD2E60"/>
    <w:rsid w:val="00CE08E1"/>
    <w:rsid w:val="00CE5113"/>
    <w:rsid w:val="00CF001E"/>
    <w:rsid w:val="00CF1B08"/>
    <w:rsid w:val="00CF2D29"/>
    <w:rsid w:val="00CF3995"/>
    <w:rsid w:val="00CF6F30"/>
    <w:rsid w:val="00D000B3"/>
    <w:rsid w:val="00D0157D"/>
    <w:rsid w:val="00D01E40"/>
    <w:rsid w:val="00D03079"/>
    <w:rsid w:val="00D21887"/>
    <w:rsid w:val="00D30B44"/>
    <w:rsid w:val="00D30DC8"/>
    <w:rsid w:val="00D31598"/>
    <w:rsid w:val="00D34E05"/>
    <w:rsid w:val="00D40347"/>
    <w:rsid w:val="00D40921"/>
    <w:rsid w:val="00D43E08"/>
    <w:rsid w:val="00D4519C"/>
    <w:rsid w:val="00D517BA"/>
    <w:rsid w:val="00D552DE"/>
    <w:rsid w:val="00D5559C"/>
    <w:rsid w:val="00D6178E"/>
    <w:rsid w:val="00D63AFD"/>
    <w:rsid w:val="00D7088A"/>
    <w:rsid w:val="00D76ED1"/>
    <w:rsid w:val="00D8064C"/>
    <w:rsid w:val="00D81CBD"/>
    <w:rsid w:val="00DA3535"/>
    <w:rsid w:val="00DA595F"/>
    <w:rsid w:val="00DB27DB"/>
    <w:rsid w:val="00DB3D48"/>
    <w:rsid w:val="00DB5172"/>
    <w:rsid w:val="00DC3B0A"/>
    <w:rsid w:val="00DD0E7A"/>
    <w:rsid w:val="00DD328E"/>
    <w:rsid w:val="00DD73CA"/>
    <w:rsid w:val="00DE38D2"/>
    <w:rsid w:val="00DE595F"/>
    <w:rsid w:val="00DF0209"/>
    <w:rsid w:val="00DF08DC"/>
    <w:rsid w:val="00E006D0"/>
    <w:rsid w:val="00E022DD"/>
    <w:rsid w:val="00E0560C"/>
    <w:rsid w:val="00E06BA4"/>
    <w:rsid w:val="00E07275"/>
    <w:rsid w:val="00E11057"/>
    <w:rsid w:val="00E1282A"/>
    <w:rsid w:val="00E131B0"/>
    <w:rsid w:val="00E166FB"/>
    <w:rsid w:val="00E22F40"/>
    <w:rsid w:val="00E23F3E"/>
    <w:rsid w:val="00E313E7"/>
    <w:rsid w:val="00E32077"/>
    <w:rsid w:val="00E32F39"/>
    <w:rsid w:val="00E3353C"/>
    <w:rsid w:val="00E438F7"/>
    <w:rsid w:val="00E44CA8"/>
    <w:rsid w:val="00E468BD"/>
    <w:rsid w:val="00E47074"/>
    <w:rsid w:val="00E5157E"/>
    <w:rsid w:val="00E5213A"/>
    <w:rsid w:val="00E60EB8"/>
    <w:rsid w:val="00E6345C"/>
    <w:rsid w:val="00E6348E"/>
    <w:rsid w:val="00E63B8C"/>
    <w:rsid w:val="00E6535F"/>
    <w:rsid w:val="00E65868"/>
    <w:rsid w:val="00E7043C"/>
    <w:rsid w:val="00E7468F"/>
    <w:rsid w:val="00E74851"/>
    <w:rsid w:val="00E755B8"/>
    <w:rsid w:val="00E76AA2"/>
    <w:rsid w:val="00E801EF"/>
    <w:rsid w:val="00E80638"/>
    <w:rsid w:val="00E825DE"/>
    <w:rsid w:val="00E906D9"/>
    <w:rsid w:val="00E91FB7"/>
    <w:rsid w:val="00E97F3D"/>
    <w:rsid w:val="00EA1AA8"/>
    <w:rsid w:val="00EA3B6C"/>
    <w:rsid w:val="00EA6417"/>
    <w:rsid w:val="00EB00D0"/>
    <w:rsid w:val="00EB19C0"/>
    <w:rsid w:val="00EB4F49"/>
    <w:rsid w:val="00EB75DE"/>
    <w:rsid w:val="00EC15E3"/>
    <w:rsid w:val="00ED458E"/>
    <w:rsid w:val="00ED647C"/>
    <w:rsid w:val="00EE5AEF"/>
    <w:rsid w:val="00F030F5"/>
    <w:rsid w:val="00F04313"/>
    <w:rsid w:val="00F04984"/>
    <w:rsid w:val="00F06727"/>
    <w:rsid w:val="00F13AF1"/>
    <w:rsid w:val="00F150DA"/>
    <w:rsid w:val="00F160DD"/>
    <w:rsid w:val="00F16124"/>
    <w:rsid w:val="00F2166C"/>
    <w:rsid w:val="00F2206B"/>
    <w:rsid w:val="00F25DB8"/>
    <w:rsid w:val="00F2791D"/>
    <w:rsid w:val="00F3455C"/>
    <w:rsid w:val="00F345FB"/>
    <w:rsid w:val="00F44DC2"/>
    <w:rsid w:val="00F4518A"/>
    <w:rsid w:val="00F52417"/>
    <w:rsid w:val="00F574FF"/>
    <w:rsid w:val="00F62417"/>
    <w:rsid w:val="00F67423"/>
    <w:rsid w:val="00F67738"/>
    <w:rsid w:val="00F81FFB"/>
    <w:rsid w:val="00F87AA3"/>
    <w:rsid w:val="00F94AA3"/>
    <w:rsid w:val="00FA4D26"/>
    <w:rsid w:val="00FA60DB"/>
    <w:rsid w:val="00FB089A"/>
    <w:rsid w:val="00FC1F88"/>
    <w:rsid w:val="00FC21E3"/>
    <w:rsid w:val="00FC64DF"/>
    <w:rsid w:val="00FD054D"/>
    <w:rsid w:val="00FD67EE"/>
    <w:rsid w:val="00FD7189"/>
    <w:rsid w:val="00FE0147"/>
    <w:rsid w:val="00FE64D4"/>
    <w:rsid w:val="00FE650B"/>
    <w:rsid w:val="00FF137F"/>
    <w:rsid w:val="00FF70A8"/>
    <w:rsid w:val="011377EE"/>
    <w:rsid w:val="011E05FB"/>
    <w:rsid w:val="01337C1E"/>
    <w:rsid w:val="0134555B"/>
    <w:rsid w:val="014B4330"/>
    <w:rsid w:val="01692946"/>
    <w:rsid w:val="01695495"/>
    <w:rsid w:val="017D6B48"/>
    <w:rsid w:val="01B21D64"/>
    <w:rsid w:val="01C508D4"/>
    <w:rsid w:val="01C51035"/>
    <w:rsid w:val="01DD2DB6"/>
    <w:rsid w:val="01E62C18"/>
    <w:rsid w:val="01EF348F"/>
    <w:rsid w:val="01F03D2B"/>
    <w:rsid w:val="01F919DD"/>
    <w:rsid w:val="02253F0E"/>
    <w:rsid w:val="02526D57"/>
    <w:rsid w:val="02737F96"/>
    <w:rsid w:val="02781762"/>
    <w:rsid w:val="02BF280B"/>
    <w:rsid w:val="02DF20C4"/>
    <w:rsid w:val="030F41F1"/>
    <w:rsid w:val="03173362"/>
    <w:rsid w:val="032F71B0"/>
    <w:rsid w:val="03312C0C"/>
    <w:rsid w:val="034D292A"/>
    <w:rsid w:val="035B77B6"/>
    <w:rsid w:val="035C3676"/>
    <w:rsid w:val="035D5F6F"/>
    <w:rsid w:val="036F3B3E"/>
    <w:rsid w:val="037A4AEE"/>
    <w:rsid w:val="037F362F"/>
    <w:rsid w:val="03DF3569"/>
    <w:rsid w:val="04084402"/>
    <w:rsid w:val="0409789A"/>
    <w:rsid w:val="041476CE"/>
    <w:rsid w:val="041528BB"/>
    <w:rsid w:val="04212F29"/>
    <w:rsid w:val="04471E5B"/>
    <w:rsid w:val="045A623E"/>
    <w:rsid w:val="047358F2"/>
    <w:rsid w:val="047D414B"/>
    <w:rsid w:val="049A2124"/>
    <w:rsid w:val="04AB7806"/>
    <w:rsid w:val="04B32520"/>
    <w:rsid w:val="04BA08C0"/>
    <w:rsid w:val="04C8233A"/>
    <w:rsid w:val="04FC658D"/>
    <w:rsid w:val="05124E06"/>
    <w:rsid w:val="05273112"/>
    <w:rsid w:val="052C21D6"/>
    <w:rsid w:val="053A4ACB"/>
    <w:rsid w:val="0543432B"/>
    <w:rsid w:val="05593907"/>
    <w:rsid w:val="05663875"/>
    <w:rsid w:val="056A57F8"/>
    <w:rsid w:val="056B5D96"/>
    <w:rsid w:val="056D56A1"/>
    <w:rsid w:val="058C27C0"/>
    <w:rsid w:val="05A91B85"/>
    <w:rsid w:val="05B2715F"/>
    <w:rsid w:val="05F85BF0"/>
    <w:rsid w:val="062022F7"/>
    <w:rsid w:val="06261B4F"/>
    <w:rsid w:val="063724AB"/>
    <w:rsid w:val="06461917"/>
    <w:rsid w:val="068548CC"/>
    <w:rsid w:val="06856AB5"/>
    <w:rsid w:val="06926C44"/>
    <w:rsid w:val="069909D8"/>
    <w:rsid w:val="06A32947"/>
    <w:rsid w:val="06B17928"/>
    <w:rsid w:val="06C76CE5"/>
    <w:rsid w:val="06D23F97"/>
    <w:rsid w:val="06E67C14"/>
    <w:rsid w:val="06E84E13"/>
    <w:rsid w:val="06EC4A20"/>
    <w:rsid w:val="070D661C"/>
    <w:rsid w:val="0710391F"/>
    <w:rsid w:val="07233E8E"/>
    <w:rsid w:val="073905EA"/>
    <w:rsid w:val="0742756B"/>
    <w:rsid w:val="07450625"/>
    <w:rsid w:val="07681976"/>
    <w:rsid w:val="079B3D36"/>
    <w:rsid w:val="07BF5E93"/>
    <w:rsid w:val="07CE03C5"/>
    <w:rsid w:val="082D4852"/>
    <w:rsid w:val="084A30EA"/>
    <w:rsid w:val="08621697"/>
    <w:rsid w:val="087966DF"/>
    <w:rsid w:val="089523B6"/>
    <w:rsid w:val="089F05B4"/>
    <w:rsid w:val="08A21855"/>
    <w:rsid w:val="08B77D62"/>
    <w:rsid w:val="08BA0B1A"/>
    <w:rsid w:val="08CE18E2"/>
    <w:rsid w:val="08DC2D04"/>
    <w:rsid w:val="09022F13"/>
    <w:rsid w:val="09340480"/>
    <w:rsid w:val="09374D81"/>
    <w:rsid w:val="09562FBF"/>
    <w:rsid w:val="095F6E5E"/>
    <w:rsid w:val="0964664C"/>
    <w:rsid w:val="09840E52"/>
    <w:rsid w:val="09A8273E"/>
    <w:rsid w:val="09C26D28"/>
    <w:rsid w:val="09E04192"/>
    <w:rsid w:val="09EE24E3"/>
    <w:rsid w:val="0A047FE9"/>
    <w:rsid w:val="0A1C3555"/>
    <w:rsid w:val="0A28164D"/>
    <w:rsid w:val="0A3956E7"/>
    <w:rsid w:val="0A421977"/>
    <w:rsid w:val="0A683C8B"/>
    <w:rsid w:val="0AAC0060"/>
    <w:rsid w:val="0AC12EB5"/>
    <w:rsid w:val="0ACB3829"/>
    <w:rsid w:val="0ACF2526"/>
    <w:rsid w:val="0AD025FD"/>
    <w:rsid w:val="0AE136B1"/>
    <w:rsid w:val="0AE96E0E"/>
    <w:rsid w:val="0AF74B8E"/>
    <w:rsid w:val="0AFB15FD"/>
    <w:rsid w:val="0AFD766D"/>
    <w:rsid w:val="0AFF3D05"/>
    <w:rsid w:val="0AFF77C1"/>
    <w:rsid w:val="0B096144"/>
    <w:rsid w:val="0B2F25EB"/>
    <w:rsid w:val="0B301A21"/>
    <w:rsid w:val="0B372B1C"/>
    <w:rsid w:val="0B38344A"/>
    <w:rsid w:val="0B5119F5"/>
    <w:rsid w:val="0B5668C4"/>
    <w:rsid w:val="0B7861EA"/>
    <w:rsid w:val="0B7D0DAA"/>
    <w:rsid w:val="0B975B12"/>
    <w:rsid w:val="0BA06450"/>
    <w:rsid w:val="0BC33EB3"/>
    <w:rsid w:val="0BC80749"/>
    <w:rsid w:val="0BCE552D"/>
    <w:rsid w:val="0BE41D66"/>
    <w:rsid w:val="0BE94EED"/>
    <w:rsid w:val="0BFF1436"/>
    <w:rsid w:val="0C430A7E"/>
    <w:rsid w:val="0C4A01C7"/>
    <w:rsid w:val="0C7063A1"/>
    <w:rsid w:val="0C78120D"/>
    <w:rsid w:val="0CBE30A6"/>
    <w:rsid w:val="0CC11489"/>
    <w:rsid w:val="0D045E14"/>
    <w:rsid w:val="0D0E18DF"/>
    <w:rsid w:val="0D12547E"/>
    <w:rsid w:val="0D342595"/>
    <w:rsid w:val="0D3F1605"/>
    <w:rsid w:val="0D43140B"/>
    <w:rsid w:val="0D774F56"/>
    <w:rsid w:val="0D820C53"/>
    <w:rsid w:val="0D965A95"/>
    <w:rsid w:val="0D9C473C"/>
    <w:rsid w:val="0DA75400"/>
    <w:rsid w:val="0DAF45C6"/>
    <w:rsid w:val="0DB13A25"/>
    <w:rsid w:val="0DC03B62"/>
    <w:rsid w:val="0DD73C46"/>
    <w:rsid w:val="0DF70DE8"/>
    <w:rsid w:val="0E342E47"/>
    <w:rsid w:val="0E3F24F8"/>
    <w:rsid w:val="0E5807C8"/>
    <w:rsid w:val="0E596E7F"/>
    <w:rsid w:val="0E5C0494"/>
    <w:rsid w:val="0E667D4B"/>
    <w:rsid w:val="0E975EFE"/>
    <w:rsid w:val="0EBA2562"/>
    <w:rsid w:val="0EBF24E7"/>
    <w:rsid w:val="0EC06EBC"/>
    <w:rsid w:val="0EC07DCA"/>
    <w:rsid w:val="0ED93699"/>
    <w:rsid w:val="0EDB6DAF"/>
    <w:rsid w:val="0F092616"/>
    <w:rsid w:val="0F251543"/>
    <w:rsid w:val="0F2C1D70"/>
    <w:rsid w:val="0F4276C4"/>
    <w:rsid w:val="0F512081"/>
    <w:rsid w:val="0F520258"/>
    <w:rsid w:val="0F5374FA"/>
    <w:rsid w:val="0F6A0C5C"/>
    <w:rsid w:val="0F753717"/>
    <w:rsid w:val="0F8177B5"/>
    <w:rsid w:val="0F8E47D8"/>
    <w:rsid w:val="0F9001D2"/>
    <w:rsid w:val="0F985170"/>
    <w:rsid w:val="0F9D1E70"/>
    <w:rsid w:val="0FA31545"/>
    <w:rsid w:val="0FC36C6C"/>
    <w:rsid w:val="0FE63162"/>
    <w:rsid w:val="0FE67E55"/>
    <w:rsid w:val="103222E1"/>
    <w:rsid w:val="1032785A"/>
    <w:rsid w:val="10367C3F"/>
    <w:rsid w:val="10452DA1"/>
    <w:rsid w:val="10734BD9"/>
    <w:rsid w:val="107B5ED4"/>
    <w:rsid w:val="107D1A47"/>
    <w:rsid w:val="10813DB5"/>
    <w:rsid w:val="1083506F"/>
    <w:rsid w:val="10951D78"/>
    <w:rsid w:val="10B86F62"/>
    <w:rsid w:val="10C542F8"/>
    <w:rsid w:val="10CC31E5"/>
    <w:rsid w:val="10CC3312"/>
    <w:rsid w:val="10E17368"/>
    <w:rsid w:val="10FA105B"/>
    <w:rsid w:val="110E50B0"/>
    <w:rsid w:val="11122071"/>
    <w:rsid w:val="111A7E49"/>
    <w:rsid w:val="11301D45"/>
    <w:rsid w:val="11486139"/>
    <w:rsid w:val="1149576D"/>
    <w:rsid w:val="115D6E76"/>
    <w:rsid w:val="116A498F"/>
    <w:rsid w:val="116A6B7F"/>
    <w:rsid w:val="118C6D7C"/>
    <w:rsid w:val="118D4A4B"/>
    <w:rsid w:val="11A379D1"/>
    <w:rsid w:val="11AF6A21"/>
    <w:rsid w:val="11B26388"/>
    <w:rsid w:val="11C7554E"/>
    <w:rsid w:val="121147A1"/>
    <w:rsid w:val="12235B66"/>
    <w:rsid w:val="123F797C"/>
    <w:rsid w:val="12401B29"/>
    <w:rsid w:val="1256235B"/>
    <w:rsid w:val="127A3122"/>
    <w:rsid w:val="12955E7E"/>
    <w:rsid w:val="12A065AB"/>
    <w:rsid w:val="12A3059B"/>
    <w:rsid w:val="12BA1004"/>
    <w:rsid w:val="12C66392"/>
    <w:rsid w:val="12E17E29"/>
    <w:rsid w:val="12ED4482"/>
    <w:rsid w:val="12EF002A"/>
    <w:rsid w:val="12EF3A7F"/>
    <w:rsid w:val="12FB2185"/>
    <w:rsid w:val="130741DC"/>
    <w:rsid w:val="132A51CE"/>
    <w:rsid w:val="132E0D4C"/>
    <w:rsid w:val="133C0EC3"/>
    <w:rsid w:val="135268B1"/>
    <w:rsid w:val="137A2F7C"/>
    <w:rsid w:val="137F1103"/>
    <w:rsid w:val="13896D6E"/>
    <w:rsid w:val="138F18FE"/>
    <w:rsid w:val="1393238C"/>
    <w:rsid w:val="13966338"/>
    <w:rsid w:val="13A6607B"/>
    <w:rsid w:val="13C5754E"/>
    <w:rsid w:val="13E329CB"/>
    <w:rsid w:val="13F917BA"/>
    <w:rsid w:val="14154325"/>
    <w:rsid w:val="14363D70"/>
    <w:rsid w:val="143C61B2"/>
    <w:rsid w:val="144B2DCE"/>
    <w:rsid w:val="145D5AAA"/>
    <w:rsid w:val="14603640"/>
    <w:rsid w:val="14620058"/>
    <w:rsid w:val="146D076B"/>
    <w:rsid w:val="14910511"/>
    <w:rsid w:val="14947393"/>
    <w:rsid w:val="14A5502E"/>
    <w:rsid w:val="14AE0F4A"/>
    <w:rsid w:val="14B033C4"/>
    <w:rsid w:val="14B473AE"/>
    <w:rsid w:val="14BE67DE"/>
    <w:rsid w:val="14F5756D"/>
    <w:rsid w:val="14FB6AD1"/>
    <w:rsid w:val="151D0CE2"/>
    <w:rsid w:val="15263D2F"/>
    <w:rsid w:val="156C10AC"/>
    <w:rsid w:val="158E54E0"/>
    <w:rsid w:val="15B64473"/>
    <w:rsid w:val="15BB3370"/>
    <w:rsid w:val="15C32477"/>
    <w:rsid w:val="15C66FDA"/>
    <w:rsid w:val="15D657FC"/>
    <w:rsid w:val="15D70466"/>
    <w:rsid w:val="15D7570D"/>
    <w:rsid w:val="160C698A"/>
    <w:rsid w:val="1617002E"/>
    <w:rsid w:val="161976B1"/>
    <w:rsid w:val="162B6F72"/>
    <w:rsid w:val="162D01A8"/>
    <w:rsid w:val="1631174D"/>
    <w:rsid w:val="16453155"/>
    <w:rsid w:val="164976AB"/>
    <w:rsid w:val="164C4683"/>
    <w:rsid w:val="16542B46"/>
    <w:rsid w:val="16581F0C"/>
    <w:rsid w:val="16583490"/>
    <w:rsid w:val="168C5E9D"/>
    <w:rsid w:val="16D44FED"/>
    <w:rsid w:val="16ED3D43"/>
    <w:rsid w:val="16F969DB"/>
    <w:rsid w:val="17052CE7"/>
    <w:rsid w:val="170900C6"/>
    <w:rsid w:val="172123A1"/>
    <w:rsid w:val="172963F5"/>
    <w:rsid w:val="172C47AB"/>
    <w:rsid w:val="17434CDD"/>
    <w:rsid w:val="1753199F"/>
    <w:rsid w:val="1787109B"/>
    <w:rsid w:val="17872BE3"/>
    <w:rsid w:val="179137C2"/>
    <w:rsid w:val="17991E32"/>
    <w:rsid w:val="17AD72D0"/>
    <w:rsid w:val="17B12093"/>
    <w:rsid w:val="17C214C3"/>
    <w:rsid w:val="17CD1C16"/>
    <w:rsid w:val="17D22FBC"/>
    <w:rsid w:val="17ED518D"/>
    <w:rsid w:val="18072320"/>
    <w:rsid w:val="18445FB5"/>
    <w:rsid w:val="185F0D12"/>
    <w:rsid w:val="186C699F"/>
    <w:rsid w:val="187A1FE6"/>
    <w:rsid w:val="18856341"/>
    <w:rsid w:val="188D56A2"/>
    <w:rsid w:val="189814DD"/>
    <w:rsid w:val="18B071B6"/>
    <w:rsid w:val="18C053C1"/>
    <w:rsid w:val="18C4458D"/>
    <w:rsid w:val="18D05151"/>
    <w:rsid w:val="18D771F0"/>
    <w:rsid w:val="18E21D2A"/>
    <w:rsid w:val="18E93970"/>
    <w:rsid w:val="18F04978"/>
    <w:rsid w:val="18F430D2"/>
    <w:rsid w:val="18FC0D7C"/>
    <w:rsid w:val="19125047"/>
    <w:rsid w:val="1913126D"/>
    <w:rsid w:val="192166CE"/>
    <w:rsid w:val="193B50E5"/>
    <w:rsid w:val="193D7BDC"/>
    <w:rsid w:val="19810F14"/>
    <w:rsid w:val="198618D5"/>
    <w:rsid w:val="199265FB"/>
    <w:rsid w:val="199971A5"/>
    <w:rsid w:val="19AC1153"/>
    <w:rsid w:val="19B0754F"/>
    <w:rsid w:val="19EE69E4"/>
    <w:rsid w:val="19EF1E4C"/>
    <w:rsid w:val="19F9180F"/>
    <w:rsid w:val="1A197A36"/>
    <w:rsid w:val="1A2E1E6B"/>
    <w:rsid w:val="1A3D0DF0"/>
    <w:rsid w:val="1A611542"/>
    <w:rsid w:val="1A74654B"/>
    <w:rsid w:val="1A8B7E75"/>
    <w:rsid w:val="1AC238BF"/>
    <w:rsid w:val="1AC50C97"/>
    <w:rsid w:val="1ADF5808"/>
    <w:rsid w:val="1AF64BE8"/>
    <w:rsid w:val="1B024553"/>
    <w:rsid w:val="1B2A71D8"/>
    <w:rsid w:val="1B482DCA"/>
    <w:rsid w:val="1B501587"/>
    <w:rsid w:val="1B65454C"/>
    <w:rsid w:val="1B6C4D85"/>
    <w:rsid w:val="1BB75ED4"/>
    <w:rsid w:val="1BC11395"/>
    <w:rsid w:val="1BC56B57"/>
    <w:rsid w:val="1BC8288C"/>
    <w:rsid w:val="1BDD6894"/>
    <w:rsid w:val="1BF71848"/>
    <w:rsid w:val="1C14698A"/>
    <w:rsid w:val="1C26585F"/>
    <w:rsid w:val="1C494EC4"/>
    <w:rsid w:val="1C5C4692"/>
    <w:rsid w:val="1C636127"/>
    <w:rsid w:val="1C714705"/>
    <w:rsid w:val="1C751F1B"/>
    <w:rsid w:val="1C83364E"/>
    <w:rsid w:val="1C9A7FE3"/>
    <w:rsid w:val="1CA54DFF"/>
    <w:rsid w:val="1CAA7BE2"/>
    <w:rsid w:val="1CB240EE"/>
    <w:rsid w:val="1CBA0028"/>
    <w:rsid w:val="1CCB32CA"/>
    <w:rsid w:val="1CFF2B79"/>
    <w:rsid w:val="1D006120"/>
    <w:rsid w:val="1D237487"/>
    <w:rsid w:val="1D5F5545"/>
    <w:rsid w:val="1D6B46DB"/>
    <w:rsid w:val="1D8965C4"/>
    <w:rsid w:val="1D9808D7"/>
    <w:rsid w:val="1D9C3E49"/>
    <w:rsid w:val="1DDA35C5"/>
    <w:rsid w:val="1DE1270E"/>
    <w:rsid w:val="1DE50EAD"/>
    <w:rsid w:val="1DFC03AE"/>
    <w:rsid w:val="1E082931"/>
    <w:rsid w:val="1E357AC9"/>
    <w:rsid w:val="1E361CA6"/>
    <w:rsid w:val="1E463C5B"/>
    <w:rsid w:val="1E57055A"/>
    <w:rsid w:val="1E602745"/>
    <w:rsid w:val="1E7A23FD"/>
    <w:rsid w:val="1E887F9B"/>
    <w:rsid w:val="1E96431C"/>
    <w:rsid w:val="1E976917"/>
    <w:rsid w:val="1E9C2D6B"/>
    <w:rsid w:val="1EA85EBD"/>
    <w:rsid w:val="1EB363A7"/>
    <w:rsid w:val="1EBC414F"/>
    <w:rsid w:val="1ED2121D"/>
    <w:rsid w:val="1ED62215"/>
    <w:rsid w:val="1EEE0DF0"/>
    <w:rsid w:val="1F085396"/>
    <w:rsid w:val="1F1D3EE5"/>
    <w:rsid w:val="1F1D565A"/>
    <w:rsid w:val="1F1D69A4"/>
    <w:rsid w:val="1F2E255D"/>
    <w:rsid w:val="1F3848E1"/>
    <w:rsid w:val="1F463479"/>
    <w:rsid w:val="1F6417B4"/>
    <w:rsid w:val="1F7672B8"/>
    <w:rsid w:val="1F862E91"/>
    <w:rsid w:val="1FC90FE9"/>
    <w:rsid w:val="1FDE1933"/>
    <w:rsid w:val="200E1D31"/>
    <w:rsid w:val="201C1900"/>
    <w:rsid w:val="2037154E"/>
    <w:rsid w:val="203B7FE9"/>
    <w:rsid w:val="20420EB0"/>
    <w:rsid w:val="20453E18"/>
    <w:rsid w:val="204C7660"/>
    <w:rsid w:val="205329AF"/>
    <w:rsid w:val="208329FB"/>
    <w:rsid w:val="2083791D"/>
    <w:rsid w:val="20915C85"/>
    <w:rsid w:val="20A8032F"/>
    <w:rsid w:val="20B63C42"/>
    <w:rsid w:val="20B64645"/>
    <w:rsid w:val="20BC243A"/>
    <w:rsid w:val="20CB693F"/>
    <w:rsid w:val="20D261A3"/>
    <w:rsid w:val="211126C1"/>
    <w:rsid w:val="21306D6A"/>
    <w:rsid w:val="21315A9C"/>
    <w:rsid w:val="2133663E"/>
    <w:rsid w:val="214B4221"/>
    <w:rsid w:val="215661E2"/>
    <w:rsid w:val="21665D68"/>
    <w:rsid w:val="217A638F"/>
    <w:rsid w:val="21825314"/>
    <w:rsid w:val="21841C07"/>
    <w:rsid w:val="21935C7E"/>
    <w:rsid w:val="21946146"/>
    <w:rsid w:val="21BA5FFD"/>
    <w:rsid w:val="21CC6932"/>
    <w:rsid w:val="21D8785A"/>
    <w:rsid w:val="21F6502B"/>
    <w:rsid w:val="2208041A"/>
    <w:rsid w:val="22187CE6"/>
    <w:rsid w:val="2228629E"/>
    <w:rsid w:val="222A1326"/>
    <w:rsid w:val="222D443F"/>
    <w:rsid w:val="224E7D96"/>
    <w:rsid w:val="225764D6"/>
    <w:rsid w:val="2281536B"/>
    <w:rsid w:val="22B30877"/>
    <w:rsid w:val="22B652EE"/>
    <w:rsid w:val="22BD0490"/>
    <w:rsid w:val="22C87260"/>
    <w:rsid w:val="22D274F4"/>
    <w:rsid w:val="22D703BE"/>
    <w:rsid w:val="22E479AB"/>
    <w:rsid w:val="22E9108D"/>
    <w:rsid w:val="22F764B1"/>
    <w:rsid w:val="22F872D2"/>
    <w:rsid w:val="23126B20"/>
    <w:rsid w:val="23287D2D"/>
    <w:rsid w:val="232C7E32"/>
    <w:rsid w:val="232F354A"/>
    <w:rsid w:val="233946BC"/>
    <w:rsid w:val="235006F3"/>
    <w:rsid w:val="23552AEF"/>
    <w:rsid w:val="23591051"/>
    <w:rsid w:val="236B6B61"/>
    <w:rsid w:val="23726599"/>
    <w:rsid w:val="23772284"/>
    <w:rsid w:val="2384425E"/>
    <w:rsid w:val="23A974C8"/>
    <w:rsid w:val="23AC0524"/>
    <w:rsid w:val="23AC1000"/>
    <w:rsid w:val="23C63906"/>
    <w:rsid w:val="23C86837"/>
    <w:rsid w:val="23CF3AE9"/>
    <w:rsid w:val="23EC522D"/>
    <w:rsid w:val="23FE06E6"/>
    <w:rsid w:val="242A3DC3"/>
    <w:rsid w:val="24393DE3"/>
    <w:rsid w:val="24445B03"/>
    <w:rsid w:val="244E3DB7"/>
    <w:rsid w:val="244F501B"/>
    <w:rsid w:val="24662553"/>
    <w:rsid w:val="24770348"/>
    <w:rsid w:val="247F66DD"/>
    <w:rsid w:val="24A74C98"/>
    <w:rsid w:val="24AE2E1C"/>
    <w:rsid w:val="24B003F4"/>
    <w:rsid w:val="24B07AC0"/>
    <w:rsid w:val="24C4772F"/>
    <w:rsid w:val="24EB0E53"/>
    <w:rsid w:val="24EE41E8"/>
    <w:rsid w:val="250336C8"/>
    <w:rsid w:val="252E1C1A"/>
    <w:rsid w:val="25424ECC"/>
    <w:rsid w:val="255A16B0"/>
    <w:rsid w:val="25616397"/>
    <w:rsid w:val="2565305E"/>
    <w:rsid w:val="25780F7E"/>
    <w:rsid w:val="25896A77"/>
    <w:rsid w:val="25A128E4"/>
    <w:rsid w:val="25A21202"/>
    <w:rsid w:val="25E274C1"/>
    <w:rsid w:val="260E41DF"/>
    <w:rsid w:val="260E5083"/>
    <w:rsid w:val="26106BBD"/>
    <w:rsid w:val="26336E07"/>
    <w:rsid w:val="26376D39"/>
    <w:rsid w:val="26624568"/>
    <w:rsid w:val="266648E3"/>
    <w:rsid w:val="26693E5F"/>
    <w:rsid w:val="267047E0"/>
    <w:rsid w:val="267D78A9"/>
    <w:rsid w:val="268B2EA9"/>
    <w:rsid w:val="2690604C"/>
    <w:rsid w:val="26931DAD"/>
    <w:rsid w:val="269C3693"/>
    <w:rsid w:val="26B936B8"/>
    <w:rsid w:val="26D55D15"/>
    <w:rsid w:val="26E2618F"/>
    <w:rsid w:val="26F02BAA"/>
    <w:rsid w:val="27061075"/>
    <w:rsid w:val="27077A51"/>
    <w:rsid w:val="270B10A9"/>
    <w:rsid w:val="271E5A84"/>
    <w:rsid w:val="272D5ACC"/>
    <w:rsid w:val="273B7576"/>
    <w:rsid w:val="27414ED7"/>
    <w:rsid w:val="275816B8"/>
    <w:rsid w:val="278B5C4F"/>
    <w:rsid w:val="27A16633"/>
    <w:rsid w:val="27A301DD"/>
    <w:rsid w:val="27AE3D30"/>
    <w:rsid w:val="27B15E91"/>
    <w:rsid w:val="27C8271B"/>
    <w:rsid w:val="27E72EEE"/>
    <w:rsid w:val="27E82CE7"/>
    <w:rsid w:val="28155D66"/>
    <w:rsid w:val="28280319"/>
    <w:rsid w:val="28366541"/>
    <w:rsid w:val="2840535C"/>
    <w:rsid w:val="28592FDF"/>
    <w:rsid w:val="285D601C"/>
    <w:rsid w:val="28666297"/>
    <w:rsid w:val="286B1150"/>
    <w:rsid w:val="28765DA6"/>
    <w:rsid w:val="2881752A"/>
    <w:rsid w:val="28A57C23"/>
    <w:rsid w:val="28AD3C6D"/>
    <w:rsid w:val="28E80B97"/>
    <w:rsid w:val="28EC22F9"/>
    <w:rsid w:val="29363AFF"/>
    <w:rsid w:val="294054E0"/>
    <w:rsid w:val="29643473"/>
    <w:rsid w:val="29CA74D5"/>
    <w:rsid w:val="29DD62AA"/>
    <w:rsid w:val="29E3383F"/>
    <w:rsid w:val="29EF58B5"/>
    <w:rsid w:val="29F868C1"/>
    <w:rsid w:val="29F90FD4"/>
    <w:rsid w:val="2A28249A"/>
    <w:rsid w:val="2A405B99"/>
    <w:rsid w:val="2A443FBA"/>
    <w:rsid w:val="2A590271"/>
    <w:rsid w:val="2A5C6E5E"/>
    <w:rsid w:val="2A5F3274"/>
    <w:rsid w:val="2A9851A3"/>
    <w:rsid w:val="2A9A04E2"/>
    <w:rsid w:val="2AA05AA6"/>
    <w:rsid w:val="2AE00316"/>
    <w:rsid w:val="2AF24DB1"/>
    <w:rsid w:val="2AF73EE7"/>
    <w:rsid w:val="2B3C3BA3"/>
    <w:rsid w:val="2B5105A6"/>
    <w:rsid w:val="2B655FCD"/>
    <w:rsid w:val="2B8A4BB0"/>
    <w:rsid w:val="2B920956"/>
    <w:rsid w:val="2B944DBE"/>
    <w:rsid w:val="2B9673CD"/>
    <w:rsid w:val="2B986B88"/>
    <w:rsid w:val="2B9D058D"/>
    <w:rsid w:val="2BA05CC5"/>
    <w:rsid w:val="2C0877F3"/>
    <w:rsid w:val="2C0D6A86"/>
    <w:rsid w:val="2C27098F"/>
    <w:rsid w:val="2C2A31BC"/>
    <w:rsid w:val="2C366A1C"/>
    <w:rsid w:val="2C4D6F7F"/>
    <w:rsid w:val="2C61629C"/>
    <w:rsid w:val="2C622768"/>
    <w:rsid w:val="2C8967F5"/>
    <w:rsid w:val="2C97601F"/>
    <w:rsid w:val="2CD87A81"/>
    <w:rsid w:val="2CE466B4"/>
    <w:rsid w:val="2D0D6A9D"/>
    <w:rsid w:val="2D2C1942"/>
    <w:rsid w:val="2D344BBD"/>
    <w:rsid w:val="2D397BA8"/>
    <w:rsid w:val="2D3E066D"/>
    <w:rsid w:val="2D4279C7"/>
    <w:rsid w:val="2D6A25EE"/>
    <w:rsid w:val="2D80643D"/>
    <w:rsid w:val="2D8C7A9E"/>
    <w:rsid w:val="2DA94C1C"/>
    <w:rsid w:val="2DB07C43"/>
    <w:rsid w:val="2DCA2BC6"/>
    <w:rsid w:val="2DCD560A"/>
    <w:rsid w:val="2DEA7EA2"/>
    <w:rsid w:val="2E0C0792"/>
    <w:rsid w:val="2E683B7B"/>
    <w:rsid w:val="2EBC62E3"/>
    <w:rsid w:val="2EC37C5E"/>
    <w:rsid w:val="2ECF3CB3"/>
    <w:rsid w:val="2F125B2A"/>
    <w:rsid w:val="2F442435"/>
    <w:rsid w:val="2F4579BC"/>
    <w:rsid w:val="2F496A64"/>
    <w:rsid w:val="2F634B49"/>
    <w:rsid w:val="2F7A59CF"/>
    <w:rsid w:val="2F9747F0"/>
    <w:rsid w:val="2F9E0065"/>
    <w:rsid w:val="2FA87432"/>
    <w:rsid w:val="2FC449A9"/>
    <w:rsid w:val="2FD965D9"/>
    <w:rsid w:val="2FDF5A34"/>
    <w:rsid w:val="30022C1A"/>
    <w:rsid w:val="30162B18"/>
    <w:rsid w:val="302A7110"/>
    <w:rsid w:val="30362FEC"/>
    <w:rsid w:val="30487D8B"/>
    <w:rsid w:val="30524B70"/>
    <w:rsid w:val="306579E1"/>
    <w:rsid w:val="306C200C"/>
    <w:rsid w:val="3075293E"/>
    <w:rsid w:val="308E5E3C"/>
    <w:rsid w:val="309577D2"/>
    <w:rsid w:val="30A3250E"/>
    <w:rsid w:val="30C55EE0"/>
    <w:rsid w:val="30D22AD3"/>
    <w:rsid w:val="30D34DA2"/>
    <w:rsid w:val="30DD18BE"/>
    <w:rsid w:val="30FA5887"/>
    <w:rsid w:val="30FF2FF5"/>
    <w:rsid w:val="310911DC"/>
    <w:rsid w:val="311C49B3"/>
    <w:rsid w:val="31212F60"/>
    <w:rsid w:val="31232953"/>
    <w:rsid w:val="31302216"/>
    <w:rsid w:val="3144373B"/>
    <w:rsid w:val="314B28C0"/>
    <w:rsid w:val="31550417"/>
    <w:rsid w:val="316B2BBB"/>
    <w:rsid w:val="31762CD1"/>
    <w:rsid w:val="318D2C04"/>
    <w:rsid w:val="319623FB"/>
    <w:rsid w:val="31A16286"/>
    <w:rsid w:val="31A529E3"/>
    <w:rsid w:val="31B13426"/>
    <w:rsid w:val="31B539EC"/>
    <w:rsid w:val="31BC0AD3"/>
    <w:rsid w:val="31C83FC6"/>
    <w:rsid w:val="31E04D07"/>
    <w:rsid w:val="31E1166F"/>
    <w:rsid w:val="32012075"/>
    <w:rsid w:val="32031D17"/>
    <w:rsid w:val="32122836"/>
    <w:rsid w:val="324A52D9"/>
    <w:rsid w:val="324F3888"/>
    <w:rsid w:val="32651BDF"/>
    <w:rsid w:val="32792E2E"/>
    <w:rsid w:val="329D4049"/>
    <w:rsid w:val="32A970B0"/>
    <w:rsid w:val="32B026E3"/>
    <w:rsid w:val="32B7446A"/>
    <w:rsid w:val="32C12566"/>
    <w:rsid w:val="32C828D2"/>
    <w:rsid w:val="32D22A67"/>
    <w:rsid w:val="32D27253"/>
    <w:rsid w:val="32D943B2"/>
    <w:rsid w:val="32DA2780"/>
    <w:rsid w:val="32DC0863"/>
    <w:rsid w:val="32F563A9"/>
    <w:rsid w:val="332B6ABA"/>
    <w:rsid w:val="333A3855"/>
    <w:rsid w:val="334C3C4E"/>
    <w:rsid w:val="33541E56"/>
    <w:rsid w:val="336F37FD"/>
    <w:rsid w:val="338046CE"/>
    <w:rsid w:val="33911F47"/>
    <w:rsid w:val="33A22573"/>
    <w:rsid w:val="33B52DFE"/>
    <w:rsid w:val="33B679A9"/>
    <w:rsid w:val="33C24F8B"/>
    <w:rsid w:val="33CC48CE"/>
    <w:rsid w:val="33D62097"/>
    <w:rsid w:val="33F343C7"/>
    <w:rsid w:val="341B2280"/>
    <w:rsid w:val="342340CA"/>
    <w:rsid w:val="342E42D5"/>
    <w:rsid w:val="3440292F"/>
    <w:rsid w:val="345519DC"/>
    <w:rsid w:val="345F46EF"/>
    <w:rsid w:val="346A3DC5"/>
    <w:rsid w:val="346F1929"/>
    <w:rsid w:val="3477084D"/>
    <w:rsid w:val="34A144BC"/>
    <w:rsid w:val="34AC084C"/>
    <w:rsid w:val="34D53B2B"/>
    <w:rsid w:val="350430ED"/>
    <w:rsid w:val="35175C92"/>
    <w:rsid w:val="353D3750"/>
    <w:rsid w:val="353E3116"/>
    <w:rsid w:val="356028D1"/>
    <w:rsid w:val="357153FA"/>
    <w:rsid w:val="357D4DBD"/>
    <w:rsid w:val="358867BB"/>
    <w:rsid w:val="359029C0"/>
    <w:rsid w:val="35A9497B"/>
    <w:rsid w:val="35C404F9"/>
    <w:rsid w:val="35CA5366"/>
    <w:rsid w:val="35D530FF"/>
    <w:rsid w:val="36122560"/>
    <w:rsid w:val="363B3DA1"/>
    <w:rsid w:val="365A14D3"/>
    <w:rsid w:val="365D7324"/>
    <w:rsid w:val="36657DCD"/>
    <w:rsid w:val="368B4415"/>
    <w:rsid w:val="36955A15"/>
    <w:rsid w:val="36975BC6"/>
    <w:rsid w:val="36DD7F9C"/>
    <w:rsid w:val="36E16B92"/>
    <w:rsid w:val="36F64E37"/>
    <w:rsid w:val="370168E2"/>
    <w:rsid w:val="371B2BC3"/>
    <w:rsid w:val="374A52FC"/>
    <w:rsid w:val="374B74BA"/>
    <w:rsid w:val="374D2CF5"/>
    <w:rsid w:val="375E43B6"/>
    <w:rsid w:val="377302A2"/>
    <w:rsid w:val="377904F6"/>
    <w:rsid w:val="378B790F"/>
    <w:rsid w:val="379179FA"/>
    <w:rsid w:val="37961319"/>
    <w:rsid w:val="37AA229A"/>
    <w:rsid w:val="37B207B5"/>
    <w:rsid w:val="37CC3F19"/>
    <w:rsid w:val="37E54330"/>
    <w:rsid w:val="37F41A22"/>
    <w:rsid w:val="37F51A20"/>
    <w:rsid w:val="37F66887"/>
    <w:rsid w:val="380346C3"/>
    <w:rsid w:val="380931A8"/>
    <w:rsid w:val="3817146E"/>
    <w:rsid w:val="382C45A1"/>
    <w:rsid w:val="38605F07"/>
    <w:rsid w:val="38640EB0"/>
    <w:rsid w:val="387315FB"/>
    <w:rsid w:val="389411D1"/>
    <w:rsid w:val="38AF4E01"/>
    <w:rsid w:val="38B572C6"/>
    <w:rsid w:val="38BA700C"/>
    <w:rsid w:val="38BC11F8"/>
    <w:rsid w:val="39271249"/>
    <w:rsid w:val="397249E9"/>
    <w:rsid w:val="397258A1"/>
    <w:rsid w:val="39795365"/>
    <w:rsid w:val="398A6C0D"/>
    <w:rsid w:val="398D3C3F"/>
    <w:rsid w:val="39935EFB"/>
    <w:rsid w:val="39A70273"/>
    <w:rsid w:val="39AC56AD"/>
    <w:rsid w:val="39B40D64"/>
    <w:rsid w:val="39C026C1"/>
    <w:rsid w:val="39E906DA"/>
    <w:rsid w:val="39F44833"/>
    <w:rsid w:val="3A0A515C"/>
    <w:rsid w:val="3A1240E7"/>
    <w:rsid w:val="3A3F2C68"/>
    <w:rsid w:val="3A5764D1"/>
    <w:rsid w:val="3A68493E"/>
    <w:rsid w:val="3A717AC7"/>
    <w:rsid w:val="3A773CDD"/>
    <w:rsid w:val="3A8E2226"/>
    <w:rsid w:val="3A92620C"/>
    <w:rsid w:val="3AAB7FDE"/>
    <w:rsid w:val="3ACF5F6F"/>
    <w:rsid w:val="3AE90052"/>
    <w:rsid w:val="3AEB4781"/>
    <w:rsid w:val="3AED0F97"/>
    <w:rsid w:val="3AFD4DFE"/>
    <w:rsid w:val="3AFE40BA"/>
    <w:rsid w:val="3B0D211F"/>
    <w:rsid w:val="3B19263E"/>
    <w:rsid w:val="3B217400"/>
    <w:rsid w:val="3B2A227D"/>
    <w:rsid w:val="3B3E14CD"/>
    <w:rsid w:val="3B730A32"/>
    <w:rsid w:val="3B810ABF"/>
    <w:rsid w:val="3B8158CE"/>
    <w:rsid w:val="3B8D135A"/>
    <w:rsid w:val="3B973AF8"/>
    <w:rsid w:val="3B9C0B73"/>
    <w:rsid w:val="3BA42B0A"/>
    <w:rsid w:val="3BDF663A"/>
    <w:rsid w:val="3C004845"/>
    <w:rsid w:val="3C0C013C"/>
    <w:rsid w:val="3C164165"/>
    <w:rsid w:val="3C1E5219"/>
    <w:rsid w:val="3C1F20B5"/>
    <w:rsid w:val="3C2B4229"/>
    <w:rsid w:val="3C5D10A4"/>
    <w:rsid w:val="3C60061B"/>
    <w:rsid w:val="3C722493"/>
    <w:rsid w:val="3C7F70D3"/>
    <w:rsid w:val="3C852124"/>
    <w:rsid w:val="3CAE34EA"/>
    <w:rsid w:val="3CC43DF9"/>
    <w:rsid w:val="3CF01DC8"/>
    <w:rsid w:val="3D0437BA"/>
    <w:rsid w:val="3D121A4F"/>
    <w:rsid w:val="3D2F483A"/>
    <w:rsid w:val="3D6611E8"/>
    <w:rsid w:val="3D6C26A6"/>
    <w:rsid w:val="3D870E95"/>
    <w:rsid w:val="3DA96D4D"/>
    <w:rsid w:val="3DC20DFC"/>
    <w:rsid w:val="3DC67BA5"/>
    <w:rsid w:val="3DC868A1"/>
    <w:rsid w:val="3DD44F8D"/>
    <w:rsid w:val="3E083824"/>
    <w:rsid w:val="3E14534F"/>
    <w:rsid w:val="3E162BFF"/>
    <w:rsid w:val="3E1B137C"/>
    <w:rsid w:val="3E3E7228"/>
    <w:rsid w:val="3E5E2533"/>
    <w:rsid w:val="3E6E7D8E"/>
    <w:rsid w:val="3E725933"/>
    <w:rsid w:val="3EBB1BB3"/>
    <w:rsid w:val="3EF07B1B"/>
    <w:rsid w:val="3F22237A"/>
    <w:rsid w:val="3F633E80"/>
    <w:rsid w:val="3F650076"/>
    <w:rsid w:val="3F6D133D"/>
    <w:rsid w:val="3F7E441B"/>
    <w:rsid w:val="3F827199"/>
    <w:rsid w:val="3F952734"/>
    <w:rsid w:val="3F966045"/>
    <w:rsid w:val="3F990071"/>
    <w:rsid w:val="3FA26E73"/>
    <w:rsid w:val="3FCD0EE7"/>
    <w:rsid w:val="3FDD3318"/>
    <w:rsid w:val="3FE71658"/>
    <w:rsid w:val="40050063"/>
    <w:rsid w:val="40062A1C"/>
    <w:rsid w:val="400C0B34"/>
    <w:rsid w:val="40532DBF"/>
    <w:rsid w:val="40615874"/>
    <w:rsid w:val="406D10DD"/>
    <w:rsid w:val="4071284D"/>
    <w:rsid w:val="409D2F6B"/>
    <w:rsid w:val="409E196D"/>
    <w:rsid w:val="40AF597A"/>
    <w:rsid w:val="40D51B2F"/>
    <w:rsid w:val="40E97FBB"/>
    <w:rsid w:val="40FA6720"/>
    <w:rsid w:val="40FB4ABC"/>
    <w:rsid w:val="41247768"/>
    <w:rsid w:val="413A09D4"/>
    <w:rsid w:val="415A298B"/>
    <w:rsid w:val="41745A6D"/>
    <w:rsid w:val="41753FAE"/>
    <w:rsid w:val="419D4A2D"/>
    <w:rsid w:val="41B16C8C"/>
    <w:rsid w:val="41BB6B72"/>
    <w:rsid w:val="41CD7BED"/>
    <w:rsid w:val="41D33E66"/>
    <w:rsid w:val="41D81D71"/>
    <w:rsid w:val="41E872E0"/>
    <w:rsid w:val="41F6463F"/>
    <w:rsid w:val="421968E4"/>
    <w:rsid w:val="426170FA"/>
    <w:rsid w:val="426F170B"/>
    <w:rsid w:val="42761E86"/>
    <w:rsid w:val="42764CCD"/>
    <w:rsid w:val="428F1AB7"/>
    <w:rsid w:val="42C56ECB"/>
    <w:rsid w:val="42EF06CD"/>
    <w:rsid w:val="42FC5275"/>
    <w:rsid w:val="42FF499E"/>
    <w:rsid w:val="430A2642"/>
    <w:rsid w:val="432724E4"/>
    <w:rsid w:val="433B3B60"/>
    <w:rsid w:val="433C4B98"/>
    <w:rsid w:val="433D5DF1"/>
    <w:rsid w:val="43456570"/>
    <w:rsid w:val="43767F16"/>
    <w:rsid w:val="43786E40"/>
    <w:rsid w:val="437D305E"/>
    <w:rsid w:val="438226C2"/>
    <w:rsid w:val="438E0B99"/>
    <w:rsid w:val="43B432F8"/>
    <w:rsid w:val="43C22F38"/>
    <w:rsid w:val="43C57835"/>
    <w:rsid w:val="43CF32D5"/>
    <w:rsid w:val="43DA1DDC"/>
    <w:rsid w:val="43F60658"/>
    <w:rsid w:val="44381E0D"/>
    <w:rsid w:val="445147C2"/>
    <w:rsid w:val="44602B36"/>
    <w:rsid w:val="44612CCE"/>
    <w:rsid w:val="44766346"/>
    <w:rsid w:val="448B360D"/>
    <w:rsid w:val="44A56A8B"/>
    <w:rsid w:val="44BD2454"/>
    <w:rsid w:val="44C6675F"/>
    <w:rsid w:val="44E5395D"/>
    <w:rsid w:val="44EF22EB"/>
    <w:rsid w:val="44FF6971"/>
    <w:rsid w:val="45012389"/>
    <w:rsid w:val="450C4C05"/>
    <w:rsid w:val="451A2676"/>
    <w:rsid w:val="452B2411"/>
    <w:rsid w:val="452C116D"/>
    <w:rsid w:val="45364D5E"/>
    <w:rsid w:val="45441C25"/>
    <w:rsid w:val="45556EC4"/>
    <w:rsid w:val="45A477F1"/>
    <w:rsid w:val="45BD50CE"/>
    <w:rsid w:val="45CC4AA7"/>
    <w:rsid w:val="45DC3A2B"/>
    <w:rsid w:val="45E047DD"/>
    <w:rsid w:val="45EF3D94"/>
    <w:rsid w:val="45F06393"/>
    <w:rsid w:val="461657FD"/>
    <w:rsid w:val="4622239F"/>
    <w:rsid w:val="46481422"/>
    <w:rsid w:val="46584349"/>
    <w:rsid w:val="466427A5"/>
    <w:rsid w:val="46981A4A"/>
    <w:rsid w:val="469D7B7D"/>
    <w:rsid w:val="46A667E2"/>
    <w:rsid w:val="46B50858"/>
    <w:rsid w:val="46C21922"/>
    <w:rsid w:val="46C9433B"/>
    <w:rsid w:val="46CA665F"/>
    <w:rsid w:val="47003A3B"/>
    <w:rsid w:val="47457256"/>
    <w:rsid w:val="474640DB"/>
    <w:rsid w:val="4751397F"/>
    <w:rsid w:val="4754159C"/>
    <w:rsid w:val="4799509E"/>
    <w:rsid w:val="47CD6827"/>
    <w:rsid w:val="47F6318A"/>
    <w:rsid w:val="480A522D"/>
    <w:rsid w:val="484F1C14"/>
    <w:rsid w:val="485203BF"/>
    <w:rsid w:val="488D13C3"/>
    <w:rsid w:val="488D1CD8"/>
    <w:rsid w:val="488E1F00"/>
    <w:rsid w:val="48911476"/>
    <w:rsid w:val="48A3576E"/>
    <w:rsid w:val="48A57C35"/>
    <w:rsid w:val="48B30CEE"/>
    <w:rsid w:val="48BF74DD"/>
    <w:rsid w:val="48C21CF0"/>
    <w:rsid w:val="48C46D78"/>
    <w:rsid w:val="48D75FD8"/>
    <w:rsid w:val="48E656D3"/>
    <w:rsid w:val="48F53FC7"/>
    <w:rsid w:val="48FD24CE"/>
    <w:rsid w:val="490C151E"/>
    <w:rsid w:val="49157F2D"/>
    <w:rsid w:val="493B6F07"/>
    <w:rsid w:val="496013BC"/>
    <w:rsid w:val="497D159C"/>
    <w:rsid w:val="49922F5B"/>
    <w:rsid w:val="49A70398"/>
    <w:rsid w:val="49AB4C4D"/>
    <w:rsid w:val="49B03EF2"/>
    <w:rsid w:val="49B601AD"/>
    <w:rsid w:val="49B80CC0"/>
    <w:rsid w:val="49BE016D"/>
    <w:rsid w:val="49CB13A3"/>
    <w:rsid w:val="49D22711"/>
    <w:rsid w:val="49D54327"/>
    <w:rsid w:val="49DD66EC"/>
    <w:rsid w:val="49EC4F1E"/>
    <w:rsid w:val="49F56450"/>
    <w:rsid w:val="4A0456D3"/>
    <w:rsid w:val="4A235E41"/>
    <w:rsid w:val="4A372AFA"/>
    <w:rsid w:val="4A404FAA"/>
    <w:rsid w:val="4A423866"/>
    <w:rsid w:val="4A552017"/>
    <w:rsid w:val="4A5E4A3C"/>
    <w:rsid w:val="4A63098A"/>
    <w:rsid w:val="4A632B0C"/>
    <w:rsid w:val="4A7B5031"/>
    <w:rsid w:val="4A7D507D"/>
    <w:rsid w:val="4A7D5254"/>
    <w:rsid w:val="4A7E4E87"/>
    <w:rsid w:val="4AA122EB"/>
    <w:rsid w:val="4AAA3B8B"/>
    <w:rsid w:val="4ACA05D1"/>
    <w:rsid w:val="4AE326CF"/>
    <w:rsid w:val="4AF153AA"/>
    <w:rsid w:val="4AFD4207"/>
    <w:rsid w:val="4B034B25"/>
    <w:rsid w:val="4B0C711A"/>
    <w:rsid w:val="4B0F73A8"/>
    <w:rsid w:val="4B2432FC"/>
    <w:rsid w:val="4B2867EF"/>
    <w:rsid w:val="4B374FAB"/>
    <w:rsid w:val="4B46030F"/>
    <w:rsid w:val="4B483F02"/>
    <w:rsid w:val="4B4F5C52"/>
    <w:rsid w:val="4B552E30"/>
    <w:rsid w:val="4B5822F6"/>
    <w:rsid w:val="4B7F60D8"/>
    <w:rsid w:val="4B8C19B5"/>
    <w:rsid w:val="4B995F69"/>
    <w:rsid w:val="4B9D10AC"/>
    <w:rsid w:val="4BA653EA"/>
    <w:rsid w:val="4BA85033"/>
    <w:rsid w:val="4BA97A47"/>
    <w:rsid w:val="4BAE2B36"/>
    <w:rsid w:val="4BC24527"/>
    <w:rsid w:val="4BC84DE2"/>
    <w:rsid w:val="4BD34C13"/>
    <w:rsid w:val="4BD909DA"/>
    <w:rsid w:val="4BE616AD"/>
    <w:rsid w:val="4BEC0146"/>
    <w:rsid w:val="4BF0247A"/>
    <w:rsid w:val="4C303C84"/>
    <w:rsid w:val="4C3256CB"/>
    <w:rsid w:val="4C326BFA"/>
    <w:rsid w:val="4C4937DE"/>
    <w:rsid w:val="4C7D1215"/>
    <w:rsid w:val="4C8A2F90"/>
    <w:rsid w:val="4C924BFB"/>
    <w:rsid w:val="4CA40607"/>
    <w:rsid w:val="4CC85B02"/>
    <w:rsid w:val="4CD83ECF"/>
    <w:rsid w:val="4CFC606F"/>
    <w:rsid w:val="4D3323CA"/>
    <w:rsid w:val="4D4A1ECC"/>
    <w:rsid w:val="4D4B1A0F"/>
    <w:rsid w:val="4D604DDC"/>
    <w:rsid w:val="4D623490"/>
    <w:rsid w:val="4D7D0297"/>
    <w:rsid w:val="4D90459D"/>
    <w:rsid w:val="4D911D9B"/>
    <w:rsid w:val="4DA51DB1"/>
    <w:rsid w:val="4DC67BBF"/>
    <w:rsid w:val="4DC90025"/>
    <w:rsid w:val="4DCB03CA"/>
    <w:rsid w:val="4DED26AE"/>
    <w:rsid w:val="4E101E36"/>
    <w:rsid w:val="4E1550D7"/>
    <w:rsid w:val="4E1B0FC8"/>
    <w:rsid w:val="4E3D5EFD"/>
    <w:rsid w:val="4E563B70"/>
    <w:rsid w:val="4E597021"/>
    <w:rsid w:val="4E7025EA"/>
    <w:rsid w:val="4E740B63"/>
    <w:rsid w:val="4E8311D3"/>
    <w:rsid w:val="4E9C1880"/>
    <w:rsid w:val="4E9D5558"/>
    <w:rsid w:val="4EB7039E"/>
    <w:rsid w:val="4EEA533A"/>
    <w:rsid w:val="4EEC69DF"/>
    <w:rsid w:val="4EF2581D"/>
    <w:rsid w:val="4EF4775A"/>
    <w:rsid w:val="4EFD0621"/>
    <w:rsid w:val="4EFD2A27"/>
    <w:rsid w:val="4F064CDB"/>
    <w:rsid w:val="4F0F2C71"/>
    <w:rsid w:val="4F22264B"/>
    <w:rsid w:val="4F5117DF"/>
    <w:rsid w:val="4F646C01"/>
    <w:rsid w:val="4F6B77A4"/>
    <w:rsid w:val="4F75695C"/>
    <w:rsid w:val="4F830AFF"/>
    <w:rsid w:val="4F873532"/>
    <w:rsid w:val="4F910F13"/>
    <w:rsid w:val="4FB833C1"/>
    <w:rsid w:val="4FB878B0"/>
    <w:rsid w:val="4FC15F4F"/>
    <w:rsid w:val="4FDA17C5"/>
    <w:rsid w:val="4FEB56BD"/>
    <w:rsid w:val="4FEE52C4"/>
    <w:rsid w:val="4FF96077"/>
    <w:rsid w:val="501E7654"/>
    <w:rsid w:val="502B4BA7"/>
    <w:rsid w:val="504570E7"/>
    <w:rsid w:val="504975E9"/>
    <w:rsid w:val="505301DE"/>
    <w:rsid w:val="50546F84"/>
    <w:rsid w:val="505618C2"/>
    <w:rsid w:val="50734095"/>
    <w:rsid w:val="508A1385"/>
    <w:rsid w:val="508C55DC"/>
    <w:rsid w:val="50C262D6"/>
    <w:rsid w:val="50DE3426"/>
    <w:rsid w:val="50EC2322"/>
    <w:rsid w:val="5102055B"/>
    <w:rsid w:val="51123559"/>
    <w:rsid w:val="51125858"/>
    <w:rsid w:val="5120421F"/>
    <w:rsid w:val="513D0A95"/>
    <w:rsid w:val="514A668F"/>
    <w:rsid w:val="515432FA"/>
    <w:rsid w:val="516259FD"/>
    <w:rsid w:val="516A3B4B"/>
    <w:rsid w:val="51780AE6"/>
    <w:rsid w:val="517F20EC"/>
    <w:rsid w:val="51993750"/>
    <w:rsid w:val="51AA3B67"/>
    <w:rsid w:val="51AC3F59"/>
    <w:rsid w:val="51D00CD2"/>
    <w:rsid w:val="51EE1049"/>
    <w:rsid w:val="521E323B"/>
    <w:rsid w:val="52310CE2"/>
    <w:rsid w:val="523313CB"/>
    <w:rsid w:val="5238601C"/>
    <w:rsid w:val="52495D62"/>
    <w:rsid w:val="524F6C53"/>
    <w:rsid w:val="5252425F"/>
    <w:rsid w:val="525C76E3"/>
    <w:rsid w:val="5263012F"/>
    <w:rsid w:val="526439C9"/>
    <w:rsid w:val="5265357A"/>
    <w:rsid w:val="52853855"/>
    <w:rsid w:val="528D0432"/>
    <w:rsid w:val="528E7093"/>
    <w:rsid w:val="52AA096C"/>
    <w:rsid w:val="52AA3E18"/>
    <w:rsid w:val="52D96241"/>
    <w:rsid w:val="52D96699"/>
    <w:rsid w:val="52EE5DFB"/>
    <w:rsid w:val="52FA7371"/>
    <w:rsid w:val="53043FF2"/>
    <w:rsid w:val="53154492"/>
    <w:rsid w:val="531875E6"/>
    <w:rsid w:val="53190D82"/>
    <w:rsid w:val="531C7BDF"/>
    <w:rsid w:val="532C04C9"/>
    <w:rsid w:val="533D14E9"/>
    <w:rsid w:val="534F7A7C"/>
    <w:rsid w:val="535B3790"/>
    <w:rsid w:val="536D0104"/>
    <w:rsid w:val="53833D59"/>
    <w:rsid w:val="53961DD9"/>
    <w:rsid w:val="53B2631B"/>
    <w:rsid w:val="53BB6B8D"/>
    <w:rsid w:val="53BD2AA9"/>
    <w:rsid w:val="53C12710"/>
    <w:rsid w:val="53C16BAB"/>
    <w:rsid w:val="53C20BA7"/>
    <w:rsid w:val="53C506D7"/>
    <w:rsid w:val="53D3670C"/>
    <w:rsid w:val="53E338D5"/>
    <w:rsid w:val="53F62B55"/>
    <w:rsid w:val="53F70B36"/>
    <w:rsid w:val="54114204"/>
    <w:rsid w:val="54202D74"/>
    <w:rsid w:val="54270C3A"/>
    <w:rsid w:val="54363D83"/>
    <w:rsid w:val="544F4819"/>
    <w:rsid w:val="54640029"/>
    <w:rsid w:val="547B25FB"/>
    <w:rsid w:val="549B746A"/>
    <w:rsid w:val="54B31EB7"/>
    <w:rsid w:val="54C053C5"/>
    <w:rsid w:val="5525648E"/>
    <w:rsid w:val="555625A0"/>
    <w:rsid w:val="555A644B"/>
    <w:rsid w:val="555D7340"/>
    <w:rsid w:val="556562E3"/>
    <w:rsid w:val="556815AB"/>
    <w:rsid w:val="55792AD2"/>
    <w:rsid w:val="557B7E8F"/>
    <w:rsid w:val="55847543"/>
    <w:rsid w:val="55960349"/>
    <w:rsid w:val="55A047DE"/>
    <w:rsid w:val="55BE3CA0"/>
    <w:rsid w:val="55F61D5C"/>
    <w:rsid w:val="55F95D1E"/>
    <w:rsid w:val="55FB74DC"/>
    <w:rsid w:val="55FC1419"/>
    <w:rsid w:val="56024118"/>
    <w:rsid w:val="560637B5"/>
    <w:rsid w:val="56065D7F"/>
    <w:rsid w:val="56387921"/>
    <w:rsid w:val="56407231"/>
    <w:rsid w:val="565433F9"/>
    <w:rsid w:val="56544D3E"/>
    <w:rsid w:val="565B6F63"/>
    <w:rsid w:val="568F63F3"/>
    <w:rsid w:val="56B11D4C"/>
    <w:rsid w:val="56B64BAF"/>
    <w:rsid w:val="56D26194"/>
    <w:rsid w:val="56DC2D39"/>
    <w:rsid w:val="56E370D2"/>
    <w:rsid w:val="56F52D92"/>
    <w:rsid w:val="56FD4299"/>
    <w:rsid w:val="57002CAC"/>
    <w:rsid w:val="5704538D"/>
    <w:rsid w:val="570C6380"/>
    <w:rsid w:val="571E0DBB"/>
    <w:rsid w:val="573B6B90"/>
    <w:rsid w:val="57817984"/>
    <w:rsid w:val="5789314C"/>
    <w:rsid w:val="57B03425"/>
    <w:rsid w:val="57B61CE5"/>
    <w:rsid w:val="57CC0BDD"/>
    <w:rsid w:val="57E5490E"/>
    <w:rsid w:val="580C12C3"/>
    <w:rsid w:val="585C49AF"/>
    <w:rsid w:val="586237A9"/>
    <w:rsid w:val="587A5DD9"/>
    <w:rsid w:val="588040FE"/>
    <w:rsid w:val="589210F6"/>
    <w:rsid w:val="58B33CCB"/>
    <w:rsid w:val="58BA792E"/>
    <w:rsid w:val="58CC413D"/>
    <w:rsid w:val="58D7765B"/>
    <w:rsid w:val="58D917B3"/>
    <w:rsid w:val="58E57BBF"/>
    <w:rsid w:val="58E95B15"/>
    <w:rsid w:val="592A7104"/>
    <w:rsid w:val="59500227"/>
    <w:rsid w:val="596819D4"/>
    <w:rsid w:val="598D706B"/>
    <w:rsid w:val="598E228B"/>
    <w:rsid w:val="59927FEE"/>
    <w:rsid w:val="59A66800"/>
    <w:rsid w:val="59B86616"/>
    <w:rsid w:val="59C008F3"/>
    <w:rsid w:val="59C55706"/>
    <w:rsid w:val="59CD08EB"/>
    <w:rsid w:val="59CE79E1"/>
    <w:rsid w:val="59E43256"/>
    <w:rsid w:val="5A125CC9"/>
    <w:rsid w:val="5A30087A"/>
    <w:rsid w:val="5A431F54"/>
    <w:rsid w:val="5A447EB0"/>
    <w:rsid w:val="5A466771"/>
    <w:rsid w:val="5A491C0F"/>
    <w:rsid w:val="5A4955CD"/>
    <w:rsid w:val="5A6005B1"/>
    <w:rsid w:val="5A764700"/>
    <w:rsid w:val="5A7D160C"/>
    <w:rsid w:val="5A853BFD"/>
    <w:rsid w:val="5A895B4F"/>
    <w:rsid w:val="5A9E42A8"/>
    <w:rsid w:val="5AAA6314"/>
    <w:rsid w:val="5AC15D85"/>
    <w:rsid w:val="5AC679D8"/>
    <w:rsid w:val="5AD5407F"/>
    <w:rsid w:val="5AED176C"/>
    <w:rsid w:val="5AFA59FF"/>
    <w:rsid w:val="5B020BEE"/>
    <w:rsid w:val="5B0C76AC"/>
    <w:rsid w:val="5B284942"/>
    <w:rsid w:val="5B301181"/>
    <w:rsid w:val="5B340517"/>
    <w:rsid w:val="5B672325"/>
    <w:rsid w:val="5BCE7954"/>
    <w:rsid w:val="5BDC7405"/>
    <w:rsid w:val="5C205D85"/>
    <w:rsid w:val="5C676547"/>
    <w:rsid w:val="5C8A4577"/>
    <w:rsid w:val="5C91481E"/>
    <w:rsid w:val="5C9473CF"/>
    <w:rsid w:val="5C9959FD"/>
    <w:rsid w:val="5CB312D5"/>
    <w:rsid w:val="5CCE21D6"/>
    <w:rsid w:val="5CD61984"/>
    <w:rsid w:val="5CD715AA"/>
    <w:rsid w:val="5CE93A63"/>
    <w:rsid w:val="5CEF75F8"/>
    <w:rsid w:val="5D281A62"/>
    <w:rsid w:val="5D2B1B87"/>
    <w:rsid w:val="5D311DE6"/>
    <w:rsid w:val="5D333D72"/>
    <w:rsid w:val="5D3704F1"/>
    <w:rsid w:val="5D3811B2"/>
    <w:rsid w:val="5D39123B"/>
    <w:rsid w:val="5D4B6A8E"/>
    <w:rsid w:val="5D5F7245"/>
    <w:rsid w:val="5D684D1D"/>
    <w:rsid w:val="5D7B6A7F"/>
    <w:rsid w:val="5D80770D"/>
    <w:rsid w:val="5D8E3386"/>
    <w:rsid w:val="5DC84AB6"/>
    <w:rsid w:val="5DE6354B"/>
    <w:rsid w:val="5DEB6FE1"/>
    <w:rsid w:val="5DF37796"/>
    <w:rsid w:val="5E0A18EE"/>
    <w:rsid w:val="5E407397"/>
    <w:rsid w:val="5E502335"/>
    <w:rsid w:val="5E504F9E"/>
    <w:rsid w:val="5E59270B"/>
    <w:rsid w:val="5E6158F7"/>
    <w:rsid w:val="5E6C6F66"/>
    <w:rsid w:val="5E6F5940"/>
    <w:rsid w:val="5E7D1202"/>
    <w:rsid w:val="5E7F1528"/>
    <w:rsid w:val="5E8A2BA1"/>
    <w:rsid w:val="5EAC1EFD"/>
    <w:rsid w:val="5EC349E9"/>
    <w:rsid w:val="5ED52165"/>
    <w:rsid w:val="5F090AC6"/>
    <w:rsid w:val="5F2226A1"/>
    <w:rsid w:val="5F2B34AD"/>
    <w:rsid w:val="5F360AB9"/>
    <w:rsid w:val="5F42510B"/>
    <w:rsid w:val="5F586267"/>
    <w:rsid w:val="5F734AF6"/>
    <w:rsid w:val="5F926173"/>
    <w:rsid w:val="5FAB2297"/>
    <w:rsid w:val="5FC53ED1"/>
    <w:rsid w:val="5FD51FAA"/>
    <w:rsid w:val="5FD67A34"/>
    <w:rsid w:val="5FE173F4"/>
    <w:rsid w:val="5FE50A6C"/>
    <w:rsid w:val="5FEF0B45"/>
    <w:rsid w:val="5FF007D8"/>
    <w:rsid w:val="600E2E70"/>
    <w:rsid w:val="60117B2C"/>
    <w:rsid w:val="60121C26"/>
    <w:rsid w:val="602837ED"/>
    <w:rsid w:val="603C0259"/>
    <w:rsid w:val="60455041"/>
    <w:rsid w:val="604E0362"/>
    <w:rsid w:val="60565C2D"/>
    <w:rsid w:val="6057551A"/>
    <w:rsid w:val="6069563F"/>
    <w:rsid w:val="60765B7D"/>
    <w:rsid w:val="607A58E0"/>
    <w:rsid w:val="60855DF0"/>
    <w:rsid w:val="60937833"/>
    <w:rsid w:val="60984254"/>
    <w:rsid w:val="60A92A47"/>
    <w:rsid w:val="60B935F7"/>
    <w:rsid w:val="60C06AD8"/>
    <w:rsid w:val="60E0519B"/>
    <w:rsid w:val="60F126C9"/>
    <w:rsid w:val="60FA2722"/>
    <w:rsid w:val="610D50D3"/>
    <w:rsid w:val="613220D2"/>
    <w:rsid w:val="613467F5"/>
    <w:rsid w:val="613E4664"/>
    <w:rsid w:val="614E51AB"/>
    <w:rsid w:val="617253FE"/>
    <w:rsid w:val="61870A55"/>
    <w:rsid w:val="618D2E93"/>
    <w:rsid w:val="61A32901"/>
    <w:rsid w:val="61D425ED"/>
    <w:rsid w:val="61D63765"/>
    <w:rsid w:val="61E65992"/>
    <w:rsid w:val="61EA59F9"/>
    <w:rsid w:val="61FA5DEB"/>
    <w:rsid w:val="620068A0"/>
    <w:rsid w:val="62151B2C"/>
    <w:rsid w:val="624C4995"/>
    <w:rsid w:val="624D550B"/>
    <w:rsid w:val="62564BE9"/>
    <w:rsid w:val="627357C6"/>
    <w:rsid w:val="62750E49"/>
    <w:rsid w:val="6278459D"/>
    <w:rsid w:val="627E5A64"/>
    <w:rsid w:val="62BA46A4"/>
    <w:rsid w:val="62D13496"/>
    <w:rsid w:val="62DA0E17"/>
    <w:rsid w:val="62E52613"/>
    <w:rsid w:val="62F00FE9"/>
    <w:rsid w:val="63273578"/>
    <w:rsid w:val="635B0F22"/>
    <w:rsid w:val="6362291C"/>
    <w:rsid w:val="63635A06"/>
    <w:rsid w:val="63704641"/>
    <w:rsid w:val="638B5299"/>
    <w:rsid w:val="639C3424"/>
    <w:rsid w:val="63AB56C9"/>
    <w:rsid w:val="63AC2AAF"/>
    <w:rsid w:val="63B66A96"/>
    <w:rsid w:val="63D556A7"/>
    <w:rsid w:val="63EA509D"/>
    <w:rsid w:val="63EA71BA"/>
    <w:rsid w:val="6400450B"/>
    <w:rsid w:val="6401233A"/>
    <w:rsid w:val="640521FE"/>
    <w:rsid w:val="640F564C"/>
    <w:rsid w:val="642B52C7"/>
    <w:rsid w:val="642F521D"/>
    <w:rsid w:val="643A4B35"/>
    <w:rsid w:val="64524695"/>
    <w:rsid w:val="64664D48"/>
    <w:rsid w:val="646D78F2"/>
    <w:rsid w:val="646E4073"/>
    <w:rsid w:val="648016C8"/>
    <w:rsid w:val="64814A83"/>
    <w:rsid w:val="6485211F"/>
    <w:rsid w:val="648A2006"/>
    <w:rsid w:val="64911C23"/>
    <w:rsid w:val="64F35235"/>
    <w:rsid w:val="65272D28"/>
    <w:rsid w:val="65276BDA"/>
    <w:rsid w:val="65300478"/>
    <w:rsid w:val="65366810"/>
    <w:rsid w:val="653C5146"/>
    <w:rsid w:val="65636B53"/>
    <w:rsid w:val="659D1994"/>
    <w:rsid w:val="659F4C95"/>
    <w:rsid w:val="65A05841"/>
    <w:rsid w:val="65A5387F"/>
    <w:rsid w:val="65C618C8"/>
    <w:rsid w:val="65D07542"/>
    <w:rsid w:val="65EB23C9"/>
    <w:rsid w:val="660D350D"/>
    <w:rsid w:val="660E3A69"/>
    <w:rsid w:val="66284E84"/>
    <w:rsid w:val="66554411"/>
    <w:rsid w:val="66576B10"/>
    <w:rsid w:val="665C265E"/>
    <w:rsid w:val="66604A92"/>
    <w:rsid w:val="66666F3F"/>
    <w:rsid w:val="666A1BAA"/>
    <w:rsid w:val="66A10729"/>
    <w:rsid w:val="66AD03E9"/>
    <w:rsid w:val="66BC405F"/>
    <w:rsid w:val="66D26FA4"/>
    <w:rsid w:val="66E23270"/>
    <w:rsid w:val="66E573E7"/>
    <w:rsid w:val="66F4576D"/>
    <w:rsid w:val="66F56367"/>
    <w:rsid w:val="66FB68D0"/>
    <w:rsid w:val="67046E54"/>
    <w:rsid w:val="67056977"/>
    <w:rsid w:val="670B6A2A"/>
    <w:rsid w:val="671949F4"/>
    <w:rsid w:val="67313A1B"/>
    <w:rsid w:val="67344DD3"/>
    <w:rsid w:val="6752723A"/>
    <w:rsid w:val="67627C34"/>
    <w:rsid w:val="67750EB7"/>
    <w:rsid w:val="678252BA"/>
    <w:rsid w:val="67945560"/>
    <w:rsid w:val="679731AD"/>
    <w:rsid w:val="679B59DB"/>
    <w:rsid w:val="67A92C63"/>
    <w:rsid w:val="67C7740C"/>
    <w:rsid w:val="67CC7586"/>
    <w:rsid w:val="67E73566"/>
    <w:rsid w:val="68012B2B"/>
    <w:rsid w:val="681F403C"/>
    <w:rsid w:val="6828478B"/>
    <w:rsid w:val="682F0CBD"/>
    <w:rsid w:val="68435C21"/>
    <w:rsid w:val="6857200B"/>
    <w:rsid w:val="687A7B04"/>
    <w:rsid w:val="687C26A4"/>
    <w:rsid w:val="688F5194"/>
    <w:rsid w:val="689C6F7B"/>
    <w:rsid w:val="68A25435"/>
    <w:rsid w:val="68A57E9E"/>
    <w:rsid w:val="68B942F2"/>
    <w:rsid w:val="68E27CE5"/>
    <w:rsid w:val="68FD65C6"/>
    <w:rsid w:val="690A288F"/>
    <w:rsid w:val="690A53E1"/>
    <w:rsid w:val="690B5056"/>
    <w:rsid w:val="690F39DC"/>
    <w:rsid w:val="692D0CBC"/>
    <w:rsid w:val="694631A6"/>
    <w:rsid w:val="694E6A16"/>
    <w:rsid w:val="695D0DCE"/>
    <w:rsid w:val="6960556D"/>
    <w:rsid w:val="69643D3B"/>
    <w:rsid w:val="696D6DC4"/>
    <w:rsid w:val="6983624E"/>
    <w:rsid w:val="698B43EE"/>
    <w:rsid w:val="69B25303"/>
    <w:rsid w:val="69F1273C"/>
    <w:rsid w:val="6A0B346D"/>
    <w:rsid w:val="6A161E28"/>
    <w:rsid w:val="6A195678"/>
    <w:rsid w:val="6A30328F"/>
    <w:rsid w:val="6A387946"/>
    <w:rsid w:val="6A3A5E73"/>
    <w:rsid w:val="6A51722F"/>
    <w:rsid w:val="6A524CA7"/>
    <w:rsid w:val="6A531C45"/>
    <w:rsid w:val="6A6055C6"/>
    <w:rsid w:val="6A615D43"/>
    <w:rsid w:val="6A6F1716"/>
    <w:rsid w:val="6A9804AD"/>
    <w:rsid w:val="6A9F282D"/>
    <w:rsid w:val="6AAB1DB3"/>
    <w:rsid w:val="6AB70D24"/>
    <w:rsid w:val="6ABD189B"/>
    <w:rsid w:val="6ADE4CA1"/>
    <w:rsid w:val="6B0E5521"/>
    <w:rsid w:val="6B264A1D"/>
    <w:rsid w:val="6B296467"/>
    <w:rsid w:val="6B4547E4"/>
    <w:rsid w:val="6B651BA7"/>
    <w:rsid w:val="6B8A51D4"/>
    <w:rsid w:val="6B9233D3"/>
    <w:rsid w:val="6BC07C59"/>
    <w:rsid w:val="6BE37162"/>
    <w:rsid w:val="6BEB5EB1"/>
    <w:rsid w:val="6BEF20D7"/>
    <w:rsid w:val="6BFA08E2"/>
    <w:rsid w:val="6C1F445B"/>
    <w:rsid w:val="6C2C766A"/>
    <w:rsid w:val="6C2E3A10"/>
    <w:rsid w:val="6C2F2ADF"/>
    <w:rsid w:val="6C44257F"/>
    <w:rsid w:val="6C6C1A8D"/>
    <w:rsid w:val="6C6D4FCA"/>
    <w:rsid w:val="6C726D05"/>
    <w:rsid w:val="6C88640E"/>
    <w:rsid w:val="6C8F776D"/>
    <w:rsid w:val="6C994DE6"/>
    <w:rsid w:val="6CC46B53"/>
    <w:rsid w:val="6CC96EB5"/>
    <w:rsid w:val="6D065DFD"/>
    <w:rsid w:val="6D27651F"/>
    <w:rsid w:val="6D2D0744"/>
    <w:rsid w:val="6D3972FE"/>
    <w:rsid w:val="6D3A2F9E"/>
    <w:rsid w:val="6D4971E2"/>
    <w:rsid w:val="6D5014F7"/>
    <w:rsid w:val="6D566204"/>
    <w:rsid w:val="6D6D0F75"/>
    <w:rsid w:val="6D7F1735"/>
    <w:rsid w:val="6D976080"/>
    <w:rsid w:val="6DA240A1"/>
    <w:rsid w:val="6DBD6335"/>
    <w:rsid w:val="6DC77801"/>
    <w:rsid w:val="6DC86ABB"/>
    <w:rsid w:val="6DE175CC"/>
    <w:rsid w:val="6DFE1D8E"/>
    <w:rsid w:val="6E23440E"/>
    <w:rsid w:val="6E27067A"/>
    <w:rsid w:val="6E300AA5"/>
    <w:rsid w:val="6E3C7982"/>
    <w:rsid w:val="6E5E7A08"/>
    <w:rsid w:val="6E9A2474"/>
    <w:rsid w:val="6EB0140A"/>
    <w:rsid w:val="6EF63CF1"/>
    <w:rsid w:val="6EFE25D6"/>
    <w:rsid w:val="6F033BF9"/>
    <w:rsid w:val="6F0B2E81"/>
    <w:rsid w:val="6F0F20F8"/>
    <w:rsid w:val="6F191D19"/>
    <w:rsid w:val="6F1C3334"/>
    <w:rsid w:val="6F425D5B"/>
    <w:rsid w:val="6F43386D"/>
    <w:rsid w:val="6F4D632E"/>
    <w:rsid w:val="6F4E36B8"/>
    <w:rsid w:val="6F514B30"/>
    <w:rsid w:val="6F6E0935"/>
    <w:rsid w:val="6F7D6E05"/>
    <w:rsid w:val="6F9B5659"/>
    <w:rsid w:val="6F9C6E8F"/>
    <w:rsid w:val="6FA168BE"/>
    <w:rsid w:val="6FA70C43"/>
    <w:rsid w:val="6FA85592"/>
    <w:rsid w:val="6FBF1F89"/>
    <w:rsid w:val="6FC31C95"/>
    <w:rsid w:val="6FC40A9E"/>
    <w:rsid w:val="70231B1A"/>
    <w:rsid w:val="70335563"/>
    <w:rsid w:val="704F1E55"/>
    <w:rsid w:val="705A1354"/>
    <w:rsid w:val="707F058F"/>
    <w:rsid w:val="70832CD3"/>
    <w:rsid w:val="708702B5"/>
    <w:rsid w:val="708C2CEA"/>
    <w:rsid w:val="708F0AD1"/>
    <w:rsid w:val="70A0363B"/>
    <w:rsid w:val="70AE1431"/>
    <w:rsid w:val="70B908AA"/>
    <w:rsid w:val="70D03053"/>
    <w:rsid w:val="70D64657"/>
    <w:rsid w:val="70E41AD2"/>
    <w:rsid w:val="7109212A"/>
    <w:rsid w:val="7113076F"/>
    <w:rsid w:val="712138F2"/>
    <w:rsid w:val="71504A90"/>
    <w:rsid w:val="715B2EB5"/>
    <w:rsid w:val="71611D0F"/>
    <w:rsid w:val="71665B90"/>
    <w:rsid w:val="71AD2148"/>
    <w:rsid w:val="71E61B06"/>
    <w:rsid w:val="72021BC5"/>
    <w:rsid w:val="72030391"/>
    <w:rsid w:val="72311AB2"/>
    <w:rsid w:val="72422CDF"/>
    <w:rsid w:val="724A1DF6"/>
    <w:rsid w:val="72511249"/>
    <w:rsid w:val="7270265D"/>
    <w:rsid w:val="728A3B01"/>
    <w:rsid w:val="72984F91"/>
    <w:rsid w:val="72AC2C4B"/>
    <w:rsid w:val="72D05297"/>
    <w:rsid w:val="72D90868"/>
    <w:rsid w:val="72E43D3F"/>
    <w:rsid w:val="7305158B"/>
    <w:rsid w:val="73280EA6"/>
    <w:rsid w:val="732F3A25"/>
    <w:rsid w:val="73362D16"/>
    <w:rsid w:val="73403E17"/>
    <w:rsid w:val="73C43E98"/>
    <w:rsid w:val="73FB574E"/>
    <w:rsid w:val="74013E3F"/>
    <w:rsid w:val="74121704"/>
    <w:rsid w:val="74225DA0"/>
    <w:rsid w:val="742B353E"/>
    <w:rsid w:val="743B2906"/>
    <w:rsid w:val="74413AD4"/>
    <w:rsid w:val="744A341B"/>
    <w:rsid w:val="74800B65"/>
    <w:rsid w:val="7497306C"/>
    <w:rsid w:val="74AC66F2"/>
    <w:rsid w:val="74B83D07"/>
    <w:rsid w:val="74C95377"/>
    <w:rsid w:val="74D17BBF"/>
    <w:rsid w:val="74D2305A"/>
    <w:rsid w:val="74E93F22"/>
    <w:rsid w:val="74FD5868"/>
    <w:rsid w:val="751A3EE9"/>
    <w:rsid w:val="751B7C01"/>
    <w:rsid w:val="75297315"/>
    <w:rsid w:val="752E3A1A"/>
    <w:rsid w:val="753F0233"/>
    <w:rsid w:val="75402ACD"/>
    <w:rsid w:val="75456AF3"/>
    <w:rsid w:val="754B2172"/>
    <w:rsid w:val="7577607E"/>
    <w:rsid w:val="7578752A"/>
    <w:rsid w:val="75884575"/>
    <w:rsid w:val="75937422"/>
    <w:rsid w:val="75B72689"/>
    <w:rsid w:val="75B935DA"/>
    <w:rsid w:val="75EB39F9"/>
    <w:rsid w:val="7601484C"/>
    <w:rsid w:val="764F6F26"/>
    <w:rsid w:val="765F0407"/>
    <w:rsid w:val="766E1D0F"/>
    <w:rsid w:val="7677624D"/>
    <w:rsid w:val="767B0330"/>
    <w:rsid w:val="768C6779"/>
    <w:rsid w:val="76A1126F"/>
    <w:rsid w:val="76A32F5B"/>
    <w:rsid w:val="76BF3AF5"/>
    <w:rsid w:val="76C249C5"/>
    <w:rsid w:val="76C50DAD"/>
    <w:rsid w:val="76C757ED"/>
    <w:rsid w:val="76C75910"/>
    <w:rsid w:val="76D66006"/>
    <w:rsid w:val="76EE42BD"/>
    <w:rsid w:val="76FC581D"/>
    <w:rsid w:val="770440E9"/>
    <w:rsid w:val="77157CAF"/>
    <w:rsid w:val="776D5268"/>
    <w:rsid w:val="7778181F"/>
    <w:rsid w:val="778C6B41"/>
    <w:rsid w:val="778F5324"/>
    <w:rsid w:val="779A612D"/>
    <w:rsid w:val="77AD00C4"/>
    <w:rsid w:val="77B310A4"/>
    <w:rsid w:val="77B42D4A"/>
    <w:rsid w:val="77B60DDB"/>
    <w:rsid w:val="77C778F7"/>
    <w:rsid w:val="77CB0A74"/>
    <w:rsid w:val="77DE0694"/>
    <w:rsid w:val="77E41F50"/>
    <w:rsid w:val="78050722"/>
    <w:rsid w:val="78054355"/>
    <w:rsid w:val="78140277"/>
    <w:rsid w:val="781E1936"/>
    <w:rsid w:val="78320AE7"/>
    <w:rsid w:val="783D16BF"/>
    <w:rsid w:val="7858614C"/>
    <w:rsid w:val="785E75C1"/>
    <w:rsid w:val="785F3DDB"/>
    <w:rsid w:val="788C3720"/>
    <w:rsid w:val="789623C6"/>
    <w:rsid w:val="78E818B2"/>
    <w:rsid w:val="78F360B4"/>
    <w:rsid w:val="78F646C5"/>
    <w:rsid w:val="78FC51A6"/>
    <w:rsid w:val="78FD4464"/>
    <w:rsid w:val="791B0689"/>
    <w:rsid w:val="79232871"/>
    <w:rsid w:val="792B1983"/>
    <w:rsid w:val="792C4A7A"/>
    <w:rsid w:val="79490272"/>
    <w:rsid w:val="794D751D"/>
    <w:rsid w:val="794F3341"/>
    <w:rsid w:val="79740024"/>
    <w:rsid w:val="79810407"/>
    <w:rsid w:val="798363FB"/>
    <w:rsid w:val="79B538B6"/>
    <w:rsid w:val="79BE3B76"/>
    <w:rsid w:val="79CA1B51"/>
    <w:rsid w:val="79F96FBE"/>
    <w:rsid w:val="79FB745F"/>
    <w:rsid w:val="7A25671A"/>
    <w:rsid w:val="7A2E1D73"/>
    <w:rsid w:val="7A4D63EB"/>
    <w:rsid w:val="7A534C41"/>
    <w:rsid w:val="7A706852"/>
    <w:rsid w:val="7A730D5A"/>
    <w:rsid w:val="7A7C0ECB"/>
    <w:rsid w:val="7A906BC8"/>
    <w:rsid w:val="7A956C93"/>
    <w:rsid w:val="7AA72F16"/>
    <w:rsid w:val="7AD61120"/>
    <w:rsid w:val="7ADA32D4"/>
    <w:rsid w:val="7AEE3815"/>
    <w:rsid w:val="7AF4139A"/>
    <w:rsid w:val="7B0C37AE"/>
    <w:rsid w:val="7B1D1798"/>
    <w:rsid w:val="7B2314EE"/>
    <w:rsid w:val="7B234AF2"/>
    <w:rsid w:val="7B356466"/>
    <w:rsid w:val="7B587E2E"/>
    <w:rsid w:val="7B6845D0"/>
    <w:rsid w:val="7B736E61"/>
    <w:rsid w:val="7B7B2670"/>
    <w:rsid w:val="7B7E4BB5"/>
    <w:rsid w:val="7B9E3409"/>
    <w:rsid w:val="7BAC7DC8"/>
    <w:rsid w:val="7BB37B40"/>
    <w:rsid w:val="7BBC6F62"/>
    <w:rsid w:val="7BBE1037"/>
    <w:rsid w:val="7BBF6140"/>
    <w:rsid w:val="7BC73700"/>
    <w:rsid w:val="7BC74AA8"/>
    <w:rsid w:val="7BDA131E"/>
    <w:rsid w:val="7BDC29AF"/>
    <w:rsid w:val="7BE34B18"/>
    <w:rsid w:val="7BF23E1F"/>
    <w:rsid w:val="7C0932AE"/>
    <w:rsid w:val="7C1153C6"/>
    <w:rsid w:val="7C3712CB"/>
    <w:rsid w:val="7C3B08F0"/>
    <w:rsid w:val="7C4E2E38"/>
    <w:rsid w:val="7C6A0C2B"/>
    <w:rsid w:val="7C6C4587"/>
    <w:rsid w:val="7C6E2AD0"/>
    <w:rsid w:val="7C727C05"/>
    <w:rsid w:val="7C77093E"/>
    <w:rsid w:val="7C82216F"/>
    <w:rsid w:val="7C853925"/>
    <w:rsid w:val="7C9623F7"/>
    <w:rsid w:val="7CA75857"/>
    <w:rsid w:val="7CBA58AE"/>
    <w:rsid w:val="7CC12E91"/>
    <w:rsid w:val="7CC846AA"/>
    <w:rsid w:val="7CCF171A"/>
    <w:rsid w:val="7CD2482C"/>
    <w:rsid w:val="7CD747DE"/>
    <w:rsid w:val="7CF90389"/>
    <w:rsid w:val="7D1345FB"/>
    <w:rsid w:val="7D15667A"/>
    <w:rsid w:val="7D1E7CE8"/>
    <w:rsid w:val="7D5266B1"/>
    <w:rsid w:val="7D553689"/>
    <w:rsid w:val="7D570425"/>
    <w:rsid w:val="7D7176E6"/>
    <w:rsid w:val="7D761135"/>
    <w:rsid w:val="7DE63ECB"/>
    <w:rsid w:val="7DEA0DE6"/>
    <w:rsid w:val="7DF10ABB"/>
    <w:rsid w:val="7DF86446"/>
    <w:rsid w:val="7DFC10F1"/>
    <w:rsid w:val="7E050FA7"/>
    <w:rsid w:val="7E08706B"/>
    <w:rsid w:val="7E1778C3"/>
    <w:rsid w:val="7E1A1AF9"/>
    <w:rsid w:val="7E502859"/>
    <w:rsid w:val="7E585241"/>
    <w:rsid w:val="7E6F7E4C"/>
    <w:rsid w:val="7E9400AF"/>
    <w:rsid w:val="7E987415"/>
    <w:rsid w:val="7E9E277A"/>
    <w:rsid w:val="7EAC08C7"/>
    <w:rsid w:val="7EB60AB0"/>
    <w:rsid w:val="7ED4513C"/>
    <w:rsid w:val="7EDF0825"/>
    <w:rsid w:val="7EE037DE"/>
    <w:rsid w:val="7EF93558"/>
    <w:rsid w:val="7EFB11CF"/>
    <w:rsid w:val="7F6273FB"/>
    <w:rsid w:val="7F7E2AAF"/>
    <w:rsid w:val="7F8877C3"/>
    <w:rsid w:val="7FA2789C"/>
    <w:rsid w:val="7FCE4A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qFormat="1" w:uiPriority="99" w:semiHidden="0" w:name="heading 3"/>
    <w:lsdException w:qFormat="1" w:unhideWhenUsed="0" w:uiPriority="0" w:semiHidden="0"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39" w:semiHidden="0" w:name="toc 2"/>
    <w:lsdException w:qFormat="1"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unhideWhenUsed="0" w:uiPriority="99"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link w:val="42"/>
    <w:unhideWhenUsed/>
    <w:qFormat/>
    <w:uiPriority w:val="99"/>
    <w:pPr>
      <w:keepNext/>
      <w:keepLines/>
      <w:spacing w:line="576" w:lineRule="auto"/>
      <w:outlineLvl w:val="0"/>
    </w:pPr>
    <w:rPr>
      <w:b/>
      <w:kern w:val="44"/>
      <w:sz w:val="44"/>
    </w:rPr>
  </w:style>
  <w:style w:type="paragraph" w:styleId="4">
    <w:name w:val="heading 2"/>
    <w:basedOn w:val="1"/>
    <w:next w:val="1"/>
    <w:link w:val="41"/>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0"/>
    <w:unhideWhenUsed/>
    <w:qFormat/>
    <w:uiPriority w:val="9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spacing w:line="300" w:lineRule="auto"/>
      <w:jc w:val="left"/>
      <w:outlineLvl w:val="4"/>
    </w:pPr>
    <w:rPr>
      <w:rFonts w:ascii="宋体" w:hAnsi="宋体" w:cs="宋体"/>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line="80" w:lineRule="atLeast"/>
    </w:pPr>
    <w:rPr>
      <w:rFonts w:ascii="楷体_GB2312" w:eastAsia="楷体_GB2312"/>
      <w:sz w:val="28"/>
    </w:rPr>
  </w:style>
  <w:style w:type="paragraph" w:styleId="8">
    <w:name w:val="Normal Indent"/>
    <w:basedOn w:val="1"/>
    <w:qFormat/>
    <w:uiPriority w:val="0"/>
    <w:pPr>
      <w:ind w:firstLine="420"/>
      <w:jc w:val="center"/>
    </w:pPr>
    <w:rPr>
      <w:b/>
      <w:kern w:val="0"/>
      <w:sz w:val="44"/>
    </w:rPr>
  </w:style>
  <w:style w:type="paragraph" w:styleId="9">
    <w:name w:val="annotation text"/>
    <w:basedOn w:val="1"/>
    <w:link w:val="37"/>
    <w:semiHidden/>
    <w:unhideWhenUsed/>
    <w:qFormat/>
    <w:uiPriority w:val="99"/>
    <w:pPr>
      <w:jc w:val="left"/>
    </w:pPr>
  </w:style>
  <w:style w:type="paragraph" w:styleId="10">
    <w:name w:val="Body Text"/>
    <w:basedOn w:val="1"/>
    <w:qFormat/>
    <w:uiPriority w:val="0"/>
    <w:pPr>
      <w:spacing w:after="120"/>
    </w:pPr>
  </w:style>
  <w:style w:type="paragraph" w:styleId="11">
    <w:name w:val="Body Text Indent"/>
    <w:basedOn w:val="1"/>
    <w:next w:val="12"/>
    <w:qFormat/>
    <w:uiPriority w:val="0"/>
    <w:pPr>
      <w:widowControl w:val="0"/>
      <w:spacing w:line="400" w:lineRule="atLeast"/>
      <w:ind w:left="571" w:leftChars="272"/>
    </w:pPr>
    <w:rPr>
      <w:rFonts w:hint="eastAsia" w:ascii="宋体"/>
      <w:sz w:val="24"/>
      <w:szCs w:val="24"/>
    </w:rPr>
  </w:style>
  <w:style w:type="paragraph" w:styleId="12">
    <w:name w:val="envelope return"/>
    <w:basedOn w:val="1"/>
    <w:qFormat/>
    <w:uiPriority w:val="0"/>
    <w:pPr>
      <w:snapToGrid w:val="0"/>
    </w:pPr>
    <w:rPr>
      <w:rFonts w:ascii="Arial" w:hAnsi="Arial" w:cs="Arial"/>
      <w:szCs w:val="21"/>
    </w:rPr>
  </w:style>
  <w:style w:type="paragraph" w:styleId="13">
    <w:name w:val="toc 3"/>
    <w:basedOn w:val="1"/>
    <w:next w:val="1"/>
    <w:semiHidden/>
    <w:unhideWhenUsed/>
    <w:qFormat/>
    <w:uiPriority w:val="99"/>
    <w:pPr>
      <w:ind w:left="840" w:leftChars="400"/>
    </w:pPr>
  </w:style>
  <w:style w:type="paragraph" w:styleId="14">
    <w:name w:val="Plain Text"/>
    <w:basedOn w:val="1"/>
    <w:qFormat/>
    <w:uiPriority w:val="0"/>
    <w:rPr>
      <w:rFonts w:ascii="宋体" w:hAnsi="Courier New"/>
    </w:rPr>
  </w:style>
  <w:style w:type="paragraph" w:styleId="15">
    <w:name w:val="Date"/>
    <w:basedOn w:val="1"/>
    <w:next w:val="1"/>
    <w:link w:val="36"/>
    <w:semiHidden/>
    <w:unhideWhenUsed/>
    <w:qFormat/>
    <w:uiPriority w:val="99"/>
    <w:pPr>
      <w:ind w:left="100" w:leftChars="2500"/>
    </w:pPr>
  </w:style>
  <w:style w:type="paragraph" w:styleId="16">
    <w:name w:val="Balloon Text"/>
    <w:basedOn w:val="1"/>
    <w:link w:val="39"/>
    <w:semiHidden/>
    <w:unhideWhenUsed/>
    <w:qFormat/>
    <w:uiPriority w:val="99"/>
    <w:rPr>
      <w:sz w:val="18"/>
      <w:szCs w:val="18"/>
    </w:rPr>
  </w:style>
  <w:style w:type="paragraph" w:styleId="17">
    <w:name w:val="footer"/>
    <w:basedOn w:val="1"/>
    <w:unhideWhenUsed/>
    <w:qFormat/>
    <w:uiPriority w:val="99"/>
    <w:pPr>
      <w:tabs>
        <w:tab w:val="center" w:pos="4153"/>
        <w:tab w:val="right" w:pos="8306"/>
      </w:tabs>
      <w:snapToGrid w:val="0"/>
      <w:jc w:val="left"/>
    </w:pPr>
    <w:rPr>
      <w:sz w:val="18"/>
      <w:szCs w:val="18"/>
    </w:rPr>
  </w:style>
  <w:style w:type="paragraph" w:styleId="18">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99"/>
  </w:style>
  <w:style w:type="paragraph" w:styleId="20">
    <w:name w:val="toc 2"/>
    <w:basedOn w:val="1"/>
    <w:next w:val="1"/>
    <w:unhideWhenUsed/>
    <w:qFormat/>
    <w:uiPriority w:val="39"/>
    <w:pPr>
      <w:ind w:left="420" w:leftChars="200"/>
    </w:pPr>
  </w:style>
  <w:style w:type="paragraph" w:styleId="21">
    <w:name w:val="Body Text 2"/>
    <w:basedOn w:val="1"/>
    <w:qFormat/>
    <w:uiPriority w:val="0"/>
    <w:pPr>
      <w:spacing w:line="480" w:lineRule="auto"/>
    </w:p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23">
    <w:name w:val="Normal (Web)"/>
    <w:basedOn w:val="1"/>
    <w:semiHidden/>
    <w:unhideWhenUsed/>
    <w:qFormat/>
    <w:uiPriority w:val="99"/>
    <w:pPr>
      <w:spacing w:beforeAutospacing="1" w:afterAutospacing="1"/>
      <w:jc w:val="left"/>
    </w:pPr>
    <w:rPr>
      <w:kern w:val="0"/>
      <w:sz w:val="24"/>
    </w:rPr>
  </w:style>
  <w:style w:type="paragraph" w:styleId="24">
    <w:name w:val="Title"/>
    <w:basedOn w:val="1"/>
    <w:qFormat/>
    <w:uiPriority w:val="0"/>
    <w:pPr>
      <w:jc w:val="center"/>
    </w:pPr>
    <w:rPr>
      <w:sz w:val="30"/>
    </w:rPr>
  </w:style>
  <w:style w:type="paragraph" w:styleId="25">
    <w:name w:val="annotation subject"/>
    <w:basedOn w:val="9"/>
    <w:next w:val="9"/>
    <w:link w:val="38"/>
    <w:semiHidden/>
    <w:unhideWhenUsed/>
    <w:qFormat/>
    <w:uiPriority w:val="99"/>
    <w:rPr>
      <w:b/>
      <w:bCs/>
    </w:rPr>
  </w:style>
  <w:style w:type="paragraph" w:styleId="26">
    <w:name w:val="Body Text First Indent"/>
    <w:basedOn w:val="10"/>
    <w:qFormat/>
    <w:uiPriority w:val="0"/>
    <w:pPr>
      <w:ind w:firstLine="420" w:firstLineChars="100"/>
    </w:pPr>
  </w:style>
  <w:style w:type="paragraph" w:styleId="27">
    <w:name w:val="Body Text First Indent 2"/>
    <w:basedOn w:val="11"/>
    <w:next w:val="1"/>
    <w:qFormat/>
    <w:uiPriority w:val="0"/>
    <w:pPr>
      <w:spacing w:after="120" w:line="240" w:lineRule="auto"/>
      <w:ind w:left="420" w:leftChars="200" w:firstLine="420" w:firstLineChars="200"/>
    </w:pPr>
    <w:rPr>
      <w:sz w:val="21"/>
    </w:rPr>
  </w:style>
  <w:style w:type="table" w:styleId="29">
    <w:name w:val="Table Grid"/>
    <w:basedOn w:val="2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rPr>
  </w:style>
  <w:style w:type="character" w:styleId="32">
    <w:name w:val="page number"/>
    <w:basedOn w:val="30"/>
    <w:qFormat/>
    <w:uiPriority w:val="0"/>
  </w:style>
  <w:style w:type="character" w:styleId="33">
    <w:name w:val="FollowedHyperlink"/>
    <w:basedOn w:val="30"/>
    <w:semiHidden/>
    <w:unhideWhenUsed/>
    <w:qFormat/>
    <w:uiPriority w:val="99"/>
    <w:rPr>
      <w:color w:val="0C64C9"/>
      <w:u w:val="none"/>
    </w:rPr>
  </w:style>
  <w:style w:type="character" w:styleId="34">
    <w:name w:val="Hyperlink"/>
    <w:basedOn w:val="30"/>
    <w:qFormat/>
    <w:uiPriority w:val="0"/>
    <w:rPr>
      <w:rFonts w:hint="eastAsia" w:ascii="微软雅黑" w:hAnsi="微软雅黑" w:eastAsia="微软雅黑" w:cs="微软雅黑"/>
      <w:color w:val="02396F"/>
      <w:u w:val="single"/>
    </w:rPr>
  </w:style>
  <w:style w:type="character" w:styleId="35">
    <w:name w:val="annotation reference"/>
    <w:basedOn w:val="30"/>
    <w:semiHidden/>
    <w:unhideWhenUsed/>
    <w:qFormat/>
    <w:uiPriority w:val="99"/>
    <w:rPr>
      <w:sz w:val="21"/>
      <w:szCs w:val="21"/>
    </w:rPr>
  </w:style>
  <w:style w:type="character" w:customStyle="1" w:styleId="36">
    <w:name w:val="日期 字符"/>
    <w:basedOn w:val="30"/>
    <w:link w:val="15"/>
    <w:semiHidden/>
    <w:qFormat/>
    <w:uiPriority w:val="99"/>
    <w:rPr>
      <w:kern w:val="2"/>
      <w:sz w:val="21"/>
    </w:rPr>
  </w:style>
  <w:style w:type="character" w:customStyle="1" w:styleId="37">
    <w:name w:val="批注文字 字符"/>
    <w:basedOn w:val="30"/>
    <w:link w:val="9"/>
    <w:semiHidden/>
    <w:qFormat/>
    <w:uiPriority w:val="99"/>
    <w:rPr>
      <w:kern w:val="2"/>
      <w:sz w:val="21"/>
    </w:rPr>
  </w:style>
  <w:style w:type="character" w:customStyle="1" w:styleId="38">
    <w:name w:val="批注主题 字符"/>
    <w:basedOn w:val="37"/>
    <w:link w:val="25"/>
    <w:semiHidden/>
    <w:qFormat/>
    <w:uiPriority w:val="99"/>
    <w:rPr>
      <w:b/>
      <w:bCs/>
      <w:kern w:val="2"/>
      <w:sz w:val="21"/>
    </w:rPr>
  </w:style>
  <w:style w:type="character" w:customStyle="1" w:styleId="39">
    <w:name w:val="批注框文本 字符"/>
    <w:basedOn w:val="30"/>
    <w:link w:val="16"/>
    <w:semiHidden/>
    <w:qFormat/>
    <w:uiPriority w:val="99"/>
    <w:rPr>
      <w:kern w:val="2"/>
      <w:sz w:val="18"/>
      <w:szCs w:val="18"/>
    </w:rPr>
  </w:style>
  <w:style w:type="character" w:customStyle="1" w:styleId="40">
    <w:name w:val="标题 3 字符"/>
    <w:basedOn w:val="30"/>
    <w:link w:val="5"/>
    <w:qFormat/>
    <w:uiPriority w:val="99"/>
    <w:rPr>
      <w:b/>
      <w:bCs/>
      <w:kern w:val="2"/>
      <w:sz w:val="32"/>
      <w:szCs w:val="32"/>
    </w:rPr>
  </w:style>
  <w:style w:type="character" w:customStyle="1" w:styleId="41">
    <w:name w:val="标题 2 字符"/>
    <w:basedOn w:val="30"/>
    <w:link w:val="4"/>
    <w:qFormat/>
    <w:uiPriority w:val="99"/>
    <w:rPr>
      <w:rFonts w:asciiTheme="majorHAnsi" w:hAnsiTheme="majorHAnsi" w:eastAsiaTheme="majorEastAsia" w:cstheme="majorBidi"/>
      <w:b/>
      <w:bCs/>
      <w:kern w:val="2"/>
      <w:sz w:val="32"/>
      <w:szCs w:val="32"/>
    </w:rPr>
  </w:style>
  <w:style w:type="character" w:customStyle="1" w:styleId="42">
    <w:name w:val="标题 1 字符"/>
    <w:basedOn w:val="30"/>
    <w:link w:val="3"/>
    <w:qFormat/>
    <w:uiPriority w:val="99"/>
    <w:rPr>
      <w:b/>
      <w:kern w:val="44"/>
      <w:sz w:val="44"/>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apple-style-span"/>
    <w:qFormat/>
    <w:uiPriority w:val="0"/>
  </w:style>
  <w:style w:type="paragraph" w:customStyle="1" w:styleId="45">
    <w:name w:val="_Style 5"/>
    <w:basedOn w:val="1"/>
    <w:next w:val="46"/>
    <w:qFormat/>
    <w:uiPriority w:val="34"/>
    <w:pPr>
      <w:ind w:firstLine="420" w:firstLineChars="200"/>
    </w:pPr>
    <w:rPr>
      <w:rFonts w:ascii="Calibri" w:hAnsi="Calibri"/>
      <w:szCs w:val="22"/>
    </w:rPr>
  </w:style>
  <w:style w:type="paragraph" w:styleId="46">
    <w:name w:val="List Paragraph"/>
    <w:basedOn w:val="1"/>
    <w:qFormat/>
    <w:uiPriority w:val="99"/>
    <w:pPr>
      <w:ind w:firstLine="420" w:firstLineChars="200"/>
    </w:pPr>
  </w:style>
  <w:style w:type="paragraph" w:customStyle="1" w:styleId="47">
    <w:name w:val="_Style 35"/>
    <w:basedOn w:val="1"/>
    <w:next w:val="1"/>
    <w:qFormat/>
    <w:uiPriority w:val="0"/>
    <w:pPr>
      <w:pBdr>
        <w:bottom w:val="single" w:color="auto" w:sz="6" w:space="1"/>
      </w:pBdr>
      <w:jc w:val="center"/>
    </w:pPr>
    <w:rPr>
      <w:rFonts w:ascii="Arial"/>
      <w:vanish/>
      <w:sz w:val="16"/>
    </w:rPr>
  </w:style>
  <w:style w:type="paragraph" w:customStyle="1" w:styleId="48">
    <w:name w:val="_Style 36"/>
    <w:basedOn w:val="1"/>
    <w:next w:val="1"/>
    <w:qFormat/>
    <w:uiPriority w:val="0"/>
    <w:pPr>
      <w:pBdr>
        <w:top w:val="single" w:color="auto" w:sz="6" w:space="1"/>
      </w:pBdr>
      <w:jc w:val="center"/>
    </w:pPr>
    <w:rPr>
      <w:rFonts w:ascii="Arial"/>
      <w:vanish/>
      <w:sz w:val="16"/>
    </w:rPr>
  </w:style>
  <w:style w:type="character" w:customStyle="1" w:styleId="49">
    <w:name w:val="页眉 字符"/>
    <w:link w:val="18"/>
    <w:qFormat/>
    <w:locked/>
    <w:uiPriority w:val="0"/>
    <w:rPr>
      <w:kern w:val="2"/>
      <w:sz w:val="18"/>
      <w:szCs w:val="18"/>
    </w:rPr>
  </w:style>
  <w:style w:type="paragraph" w:customStyle="1" w:styleId="5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
    <w:name w:val="_Style 7"/>
    <w:basedOn w:val="1"/>
    <w:next w:val="1"/>
    <w:qFormat/>
    <w:uiPriority w:val="0"/>
    <w:pPr>
      <w:pBdr>
        <w:bottom w:val="single" w:color="auto" w:sz="6" w:space="1"/>
      </w:pBdr>
      <w:jc w:val="center"/>
    </w:pPr>
    <w:rPr>
      <w:rFonts w:ascii="Arial"/>
      <w:vanish/>
      <w:sz w:val="16"/>
    </w:rPr>
  </w:style>
  <w:style w:type="paragraph" w:customStyle="1" w:styleId="52">
    <w:name w:val="_Style 8"/>
    <w:basedOn w:val="1"/>
    <w:next w:val="1"/>
    <w:qFormat/>
    <w:uiPriority w:val="0"/>
    <w:pPr>
      <w:pBdr>
        <w:top w:val="single" w:color="auto" w:sz="6" w:space="1"/>
      </w:pBdr>
      <w:jc w:val="center"/>
    </w:pPr>
    <w:rPr>
      <w:rFonts w:ascii="Arial"/>
      <w:vanish/>
      <w:sz w:val="16"/>
    </w:rPr>
  </w:style>
  <w:style w:type="paragraph" w:customStyle="1" w:styleId="5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4">
    <w:name w:val="列出段落1"/>
    <w:basedOn w:val="1"/>
    <w:qFormat/>
    <w:uiPriority w:val="0"/>
    <w:pPr>
      <w:ind w:firstLine="420" w:firstLineChars="200"/>
    </w:pPr>
  </w:style>
  <w:style w:type="paragraph" w:customStyle="1" w:styleId="55">
    <w:name w:val="目录"/>
    <w:basedOn w:val="1"/>
    <w:qFormat/>
    <w:uiPriority w:val="0"/>
    <w:pPr>
      <w:jc w:val="center"/>
    </w:pPr>
    <w:rPr>
      <w:rFonts w:ascii="宋体"/>
      <w:b/>
      <w:kern w:val="0"/>
      <w:sz w:val="36"/>
    </w:rPr>
  </w:style>
  <w:style w:type="character" w:customStyle="1" w:styleId="56">
    <w:name w:val="redfilefwwh"/>
    <w:basedOn w:val="30"/>
    <w:qFormat/>
    <w:uiPriority w:val="0"/>
    <w:rPr>
      <w:color w:val="BA2636"/>
      <w:sz w:val="18"/>
      <w:szCs w:val="18"/>
    </w:rPr>
  </w:style>
  <w:style w:type="character" w:customStyle="1" w:styleId="57">
    <w:name w:val="displayarti"/>
    <w:basedOn w:val="30"/>
    <w:qFormat/>
    <w:uiPriority w:val="0"/>
    <w:rPr>
      <w:color w:val="FFFFFF"/>
      <w:shd w:val="clear" w:color="auto" w:fill="A00000"/>
    </w:rPr>
  </w:style>
  <w:style w:type="character" w:customStyle="1" w:styleId="58">
    <w:name w:val="cfdate"/>
    <w:basedOn w:val="30"/>
    <w:qFormat/>
    <w:uiPriority w:val="0"/>
    <w:rPr>
      <w:color w:val="333333"/>
      <w:sz w:val="18"/>
      <w:szCs w:val="18"/>
    </w:rPr>
  </w:style>
  <w:style w:type="character" w:customStyle="1" w:styleId="59">
    <w:name w:val="qxdate"/>
    <w:basedOn w:val="30"/>
    <w:qFormat/>
    <w:uiPriority w:val="0"/>
    <w:rPr>
      <w:color w:val="333333"/>
      <w:sz w:val="18"/>
      <w:szCs w:val="18"/>
    </w:rPr>
  </w:style>
  <w:style w:type="character" w:customStyle="1" w:styleId="60">
    <w:name w:val="redfilenumber"/>
    <w:basedOn w:val="30"/>
    <w:qFormat/>
    <w:uiPriority w:val="0"/>
    <w:rPr>
      <w:color w:val="BA2636"/>
      <w:sz w:val="18"/>
      <w:szCs w:val="18"/>
    </w:rPr>
  </w:style>
  <w:style w:type="character" w:customStyle="1" w:styleId="61">
    <w:name w:val="gjfg"/>
    <w:basedOn w:val="30"/>
    <w:qFormat/>
    <w:uiPriority w:val="0"/>
  </w:style>
  <w:style w:type="character" w:customStyle="1" w:styleId="62">
    <w:name w:val="next2"/>
    <w:basedOn w:val="30"/>
    <w:qFormat/>
    <w:uiPriority w:val="0"/>
    <w:rPr>
      <w:rFonts w:ascii="微软雅黑" w:hAnsi="微软雅黑" w:eastAsia="微软雅黑" w:cs="微软雅黑"/>
      <w:sz w:val="21"/>
      <w:szCs w:val="21"/>
    </w:rPr>
  </w:style>
  <w:style w:type="character" w:customStyle="1" w:styleId="63">
    <w:name w:val="next3"/>
    <w:basedOn w:val="30"/>
    <w:qFormat/>
    <w:uiPriority w:val="0"/>
    <w:rPr>
      <w:color w:val="888888"/>
    </w:rPr>
  </w:style>
  <w:style w:type="character" w:customStyle="1" w:styleId="64">
    <w:name w:val="prev"/>
    <w:basedOn w:val="30"/>
    <w:qFormat/>
    <w:uiPriority w:val="0"/>
    <w:rPr>
      <w:rFonts w:hint="eastAsia" w:ascii="微软雅黑" w:hAnsi="微软雅黑" w:eastAsia="微软雅黑" w:cs="微软雅黑"/>
      <w:sz w:val="21"/>
      <w:szCs w:val="21"/>
    </w:rPr>
  </w:style>
  <w:style w:type="character" w:customStyle="1" w:styleId="65">
    <w:name w:val="prev1"/>
    <w:basedOn w:val="30"/>
    <w:qFormat/>
    <w:uiPriority w:val="0"/>
    <w:rPr>
      <w:color w:val="888888"/>
    </w:rPr>
  </w:style>
  <w:style w:type="character" w:customStyle="1" w:styleId="66">
    <w:name w:val="next"/>
    <w:basedOn w:val="30"/>
    <w:qFormat/>
    <w:uiPriority w:val="0"/>
    <w:rPr>
      <w:rFonts w:ascii="微软雅黑" w:hAnsi="微软雅黑" w:eastAsia="微软雅黑" w:cs="微软雅黑"/>
      <w:sz w:val="21"/>
      <w:szCs w:val="21"/>
    </w:rPr>
  </w:style>
  <w:style w:type="paragraph" w:customStyle="1" w:styleId="67">
    <w:name w:val="Other|1"/>
    <w:basedOn w:val="1"/>
    <w:qFormat/>
    <w:uiPriority w:val="0"/>
    <w:pPr>
      <w:spacing w:after="40" w:line="480" w:lineRule="auto"/>
    </w:pPr>
    <w:rPr>
      <w:rFonts w:ascii="宋体" w:hAnsi="宋体" w:cs="宋体"/>
      <w:sz w:val="26"/>
      <w:szCs w:val="26"/>
      <w:lang w:val="zh-TW" w:eastAsia="zh-TW" w:bidi="zh-TW"/>
    </w:rPr>
  </w:style>
  <w:style w:type="table" w:customStyle="1" w:styleId="68">
    <w:name w:val="网格型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99C16B-91CD-4BFA-8FE5-321D73FA140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25265</Words>
  <Characters>27752</Characters>
  <Lines>236</Lines>
  <Paragraphs>66</Paragraphs>
  <TotalTime>0</TotalTime>
  <ScaleCrop>false</ScaleCrop>
  <LinksUpToDate>false</LinksUpToDate>
  <CharactersWithSpaces>31094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2022-11-02T07:33:00Z</dcterms:created>
  <dc:creator>Administrator</dc:creator>
  <cp:lastModifiedBy>晟裕招标</cp:lastModifiedBy>
  <cp:lastPrinted>2022-11-02T05:01:00Z</cp:lastPrinted>
  <dcterms:modified xsi:type="dcterms:W3CDTF">2022-11-27T02:40:49Z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2E0AA5722F874491AD226EF3FE8D190A</vt:lpwstr>
  </property>
</Properties>
</file>